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158EC5">
      <w:pPr>
        <w:jc w:val="center"/>
        <w:rPr>
          <w:rFonts w:hint="eastAsia" w:eastAsiaTheme="minorEastAsia"/>
          <w:lang w:val="en-US" w:eastAsia="zh-CN"/>
        </w:rPr>
      </w:pPr>
    </w:p>
    <w:p w14:paraId="67DE2AF9">
      <w:pPr>
        <w:jc w:val="center"/>
      </w:pPr>
    </w:p>
    <w:p w14:paraId="57DB942A">
      <w:pPr>
        <w:jc w:val="center"/>
      </w:pPr>
    </w:p>
    <w:p w14:paraId="6E09A458">
      <w:pPr>
        <w:jc w:val="center"/>
      </w:pPr>
    </w:p>
    <w:p w14:paraId="72F903A7">
      <w:pPr>
        <w:jc w:val="center"/>
      </w:pPr>
    </w:p>
    <w:p w14:paraId="1B8D82B2">
      <w:pPr>
        <w:jc w:val="center"/>
      </w:pPr>
    </w:p>
    <w:p w14:paraId="5742AB1C">
      <w:pPr>
        <w:jc w:val="center"/>
      </w:pPr>
    </w:p>
    <w:p w14:paraId="2D35BEC6">
      <w:pPr>
        <w:jc w:val="center"/>
      </w:pPr>
    </w:p>
    <w:p w14:paraId="58E16B96">
      <w:pPr>
        <w:jc w:val="center"/>
      </w:pPr>
    </w:p>
    <w:p w14:paraId="3F8C318E">
      <w:pPr>
        <w:jc w:val="center"/>
      </w:pPr>
    </w:p>
    <w:p w14:paraId="42F67EB8">
      <w:pPr>
        <w:jc w:val="center"/>
      </w:pPr>
    </w:p>
    <w:p w14:paraId="62D3EC1D">
      <w:pPr>
        <w:jc w:val="center"/>
      </w:pPr>
    </w:p>
    <w:p w14:paraId="4CAA3DCC">
      <w:pPr>
        <w:jc w:val="center"/>
      </w:pPr>
    </w:p>
    <w:p w14:paraId="2FE025A2">
      <w:pPr>
        <w:pStyle w:val="19"/>
        <w:bidi w:val="0"/>
        <w:rPr>
          <w:rFonts w:hint="eastAsia" w:ascii="黑体" w:hAnsi="黑体" w:eastAsia="黑体" w:cs="Times New Roman"/>
          <w:b/>
          <w:bCs/>
          <w:sz w:val="48"/>
          <w:szCs w:val="48"/>
        </w:rPr>
      </w:pPr>
      <w:r>
        <w:rPr>
          <w:rFonts w:hint="eastAsia" w:ascii="黑体" w:hAnsi="黑体" w:eastAsia="黑体" w:cs="Times New Roman"/>
          <w:b/>
          <w:bCs/>
          <w:sz w:val="48"/>
          <w:szCs w:val="48"/>
        </w:rPr>
        <w:t>《</w:t>
      </w:r>
      <w:r>
        <w:rPr>
          <w:rFonts w:hint="eastAsia"/>
          <w:lang w:val="en-US" w:eastAsia="zh-CN"/>
        </w:rPr>
        <w:t>空气及废气中乙醇含量的检测方法</w:t>
      </w:r>
      <w:r>
        <w:rPr>
          <w:rFonts w:hint="eastAsia" w:ascii="黑体" w:hAnsi="黑体" w:eastAsia="黑体" w:cs="Times New Roman"/>
          <w:b/>
          <w:bCs/>
          <w:sz w:val="48"/>
          <w:szCs w:val="48"/>
        </w:rPr>
        <w:t>》</w:t>
      </w:r>
    </w:p>
    <w:p w14:paraId="61FF3AD3">
      <w:pPr>
        <w:jc w:val="center"/>
        <w:rPr>
          <w:rFonts w:ascii="迷你简小标宋" w:hAnsi="宋体" w:eastAsia="迷你简小标宋"/>
          <w:sz w:val="44"/>
          <w:szCs w:val="44"/>
        </w:rPr>
      </w:pPr>
    </w:p>
    <w:p w14:paraId="7D0C38B8">
      <w:pPr>
        <w:spacing w:before="240" w:after="60"/>
        <w:jc w:val="center"/>
        <w:outlineLvl w:val="0"/>
        <w:rPr>
          <w:rFonts w:hint="eastAsia" w:ascii="黑体" w:hAnsi="黑体" w:eastAsia="黑体" w:cs="Times New Roman"/>
          <w:b/>
          <w:bCs/>
          <w:sz w:val="48"/>
          <w:szCs w:val="48"/>
        </w:rPr>
      </w:pPr>
      <w:r>
        <w:rPr>
          <w:rFonts w:hint="eastAsia" w:ascii="黑体" w:hAnsi="黑体" w:eastAsia="黑体" w:cs="Times New Roman"/>
          <w:b/>
          <w:bCs/>
          <w:sz w:val="48"/>
          <w:szCs w:val="48"/>
        </w:rPr>
        <w:t>编制说明</w:t>
      </w:r>
    </w:p>
    <w:p w14:paraId="160AFCAF">
      <w:pPr>
        <w:jc w:val="center"/>
      </w:pPr>
    </w:p>
    <w:p w14:paraId="4E3ADD9F">
      <w:pPr>
        <w:jc w:val="center"/>
      </w:pPr>
    </w:p>
    <w:p w14:paraId="34ED2F6B">
      <w:pPr>
        <w:jc w:val="center"/>
      </w:pPr>
    </w:p>
    <w:p w14:paraId="6D9C89CF">
      <w:pPr>
        <w:jc w:val="center"/>
      </w:pPr>
    </w:p>
    <w:p w14:paraId="467068B9">
      <w:pPr>
        <w:jc w:val="center"/>
      </w:pPr>
    </w:p>
    <w:p w14:paraId="74E368CD">
      <w:pPr>
        <w:jc w:val="center"/>
      </w:pPr>
    </w:p>
    <w:p w14:paraId="7AF797E2">
      <w:pPr>
        <w:jc w:val="center"/>
      </w:pPr>
    </w:p>
    <w:p w14:paraId="5FB865C9">
      <w:pPr>
        <w:jc w:val="center"/>
      </w:pPr>
    </w:p>
    <w:p w14:paraId="4C37EC5E">
      <w:pPr>
        <w:jc w:val="center"/>
      </w:pPr>
    </w:p>
    <w:p w14:paraId="5CF3C37D">
      <w:pPr>
        <w:jc w:val="center"/>
      </w:pPr>
    </w:p>
    <w:p w14:paraId="1A657A14">
      <w:pPr>
        <w:jc w:val="center"/>
      </w:pPr>
    </w:p>
    <w:p w14:paraId="5DE01C95">
      <w:pPr>
        <w:jc w:val="center"/>
      </w:pPr>
    </w:p>
    <w:p w14:paraId="44F94FD9">
      <w:pPr>
        <w:jc w:val="center"/>
      </w:pPr>
    </w:p>
    <w:p w14:paraId="3869B171">
      <w:pPr>
        <w:jc w:val="center"/>
      </w:pPr>
    </w:p>
    <w:p w14:paraId="7F2F75C0">
      <w:pPr>
        <w:jc w:val="center"/>
      </w:pPr>
    </w:p>
    <w:p w14:paraId="75879228">
      <w:pPr>
        <w:jc w:val="center"/>
      </w:pPr>
    </w:p>
    <w:p w14:paraId="3D4AD867">
      <w:pPr>
        <w:jc w:val="center"/>
      </w:pPr>
    </w:p>
    <w:p w14:paraId="05AA9315">
      <w:pPr>
        <w:jc w:val="center"/>
      </w:pPr>
    </w:p>
    <w:p w14:paraId="4AD3587A">
      <w:pPr>
        <w:jc w:val="center"/>
      </w:pPr>
    </w:p>
    <w:p w14:paraId="4C05F032">
      <w:pPr>
        <w:spacing w:line="360" w:lineRule="auto"/>
        <w:jc w:val="center"/>
        <w:rPr>
          <w:rFonts w:ascii="宋体" w:hAnsi="宋体" w:eastAsia="宋体"/>
          <w:sz w:val="28"/>
          <w:szCs w:val="28"/>
        </w:rPr>
      </w:pPr>
      <w:r>
        <w:rPr>
          <w:rFonts w:hint="eastAsia" w:ascii="宋体" w:hAnsi="宋体" w:eastAsia="宋体" w:cs="Times New Roman"/>
          <w:b/>
          <w:sz w:val="44"/>
          <w:szCs w:val="44"/>
          <w:lang w:val="en-US" w:eastAsia="zh-CN"/>
        </w:rPr>
        <w:t>标准</w:t>
      </w:r>
      <w:r>
        <w:rPr>
          <w:rFonts w:hint="eastAsia" w:ascii="宋体" w:hAnsi="宋体" w:eastAsia="宋体" w:cs="Times New Roman"/>
          <w:b/>
          <w:sz w:val="44"/>
          <w:szCs w:val="44"/>
        </w:rPr>
        <w:t xml:space="preserve">制定工作组 </w:t>
      </w:r>
    </w:p>
    <w:p w14:paraId="14DE6D7B">
      <w:pPr>
        <w:spacing w:line="360" w:lineRule="auto"/>
        <w:jc w:val="center"/>
        <w:rPr>
          <w:rFonts w:hint="eastAsia" w:ascii="宋体" w:hAnsi="宋体" w:eastAsia="宋体" w:cs="Times New Roman"/>
          <w:b/>
          <w:color w:val="auto"/>
          <w:sz w:val="44"/>
          <w:szCs w:val="44"/>
          <w:lang w:val="en-US" w:eastAsia="zh-CN"/>
        </w:rPr>
      </w:pPr>
      <w:r>
        <w:rPr>
          <w:rFonts w:hint="eastAsia" w:ascii="宋体" w:hAnsi="宋体" w:eastAsia="宋体" w:cs="Times New Roman"/>
          <w:b/>
          <w:color w:val="auto"/>
          <w:sz w:val="44"/>
          <w:szCs w:val="44"/>
          <w:lang w:val="en-US" w:eastAsia="zh-CN"/>
        </w:rPr>
        <w:t>2025年05月</w:t>
      </w:r>
    </w:p>
    <w:p w14:paraId="341EC428">
      <w:pPr>
        <w:jc w:val="center"/>
        <w:rPr>
          <w:rFonts w:ascii="宋体" w:hAnsi="宋体" w:eastAsia="宋体"/>
          <w:sz w:val="28"/>
          <w:szCs w:val="28"/>
        </w:rPr>
      </w:pPr>
    </w:p>
    <w:p w14:paraId="2AC8F8A2">
      <w:pPr>
        <w:spacing w:line="360" w:lineRule="auto"/>
        <w:jc w:val="center"/>
        <w:rPr>
          <w:rFonts w:ascii="宋体" w:hAnsi="宋体" w:cs="Times New Roman"/>
          <w:b/>
          <w:sz w:val="44"/>
          <w:szCs w:val="44"/>
        </w:rPr>
      </w:pPr>
      <w:r>
        <w:rPr>
          <w:rFonts w:hint="eastAsia" w:ascii="宋体" w:hAnsi="宋体" w:cs="Times New Roman"/>
          <w:b/>
          <w:sz w:val="44"/>
          <w:szCs w:val="44"/>
        </w:rPr>
        <w:t>目录</w:t>
      </w:r>
    </w:p>
    <w:tbl>
      <w:tblPr>
        <w:tblStyle w:val="7"/>
        <w:tblW w:w="8444" w:type="dxa"/>
        <w:tblInd w:w="1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4"/>
      </w:tblGrid>
      <w:tr w14:paraId="54317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44" w:type="dxa"/>
            <w:tcBorders>
              <w:top w:val="nil"/>
              <w:left w:val="nil"/>
              <w:bottom w:val="nil"/>
              <w:right w:val="nil"/>
            </w:tcBorders>
            <w:vAlign w:val="center"/>
          </w:tcPr>
          <w:p w14:paraId="07175F58">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30"/>
                <w:szCs w:val="30"/>
              </w:rPr>
            </w:pPr>
            <w:r>
              <w:rPr>
                <w:rFonts w:hint="eastAsia" w:ascii="Times New Roman" w:hAnsi="Times New Roman" w:eastAsia="仿宋_GB2312" w:cs="Times New Roman"/>
                <w:sz w:val="30"/>
                <w:szCs w:val="30"/>
              </w:rPr>
              <w:t xml:space="preserve">序号  资料名称                            </w:t>
            </w:r>
            <w:r>
              <w:rPr>
                <w:rFonts w:hint="eastAsia"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rPr>
              <w:t xml:space="preserve">  页码</w:t>
            </w:r>
          </w:p>
          <w:p w14:paraId="223B3DD0">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rPr>
              <w:t xml:space="preserve">1   </w:t>
            </w:r>
            <w:r>
              <w:rPr>
                <w:rFonts w:hint="eastAsia" w:ascii="Times New Roman" w:hAnsi="Times New Roman" w:eastAsia="仿宋_GB2312" w:cs="Times New Roman"/>
                <w:sz w:val="30"/>
                <w:szCs w:val="30"/>
                <w:lang w:val="en-US" w:eastAsia="zh-CN"/>
              </w:rPr>
              <w:t>工作简况</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01</w:t>
            </w:r>
          </w:p>
          <w:p w14:paraId="5C0964EE">
            <w:pPr>
              <w:pStyle w:val="16"/>
              <w:keepNext w:val="0"/>
              <w:keepLines w:val="0"/>
              <w:numPr>
                <w:ilvl w:val="0"/>
                <w:numId w:val="0"/>
              </w:numPr>
              <w:suppressLineNumbers w:val="0"/>
              <w:spacing w:before="0" w:beforeAutospacing="0" w:after="0" w:afterAutospacing="0" w:line="360" w:lineRule="auto"/>
              <w:ind w:left="0" w:leftChars="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kern w:val="2"/>
                <w:sz w:val="30"/>
                <w:szCs w:val="30"/>
                <w:lang w:val="en-US" w:eastAsia="zh-CN" w:bidi="ar-SA"/>
              </w:rPr>
              <w:t xml:space="preserve">2   标准编制原则和主要内容                   </w:t>
            </w:r>
            <w:r>
              <w:rPr>
                <w:rFonts w:hint="eastAsia" w:ascii="Times New Roman" w:hAnsi="Times New Roman" w:eastAsia="仿宋_GB2312" w:cs="Times New Roman"/>
                <w:sz w:val="30"/>
                <w:szCs w:val="30"/>
                <w:lang w:val="en-US" w:eastAsia="zh-CN"/>
              </w:rPr>
              <w:t>05</w:t>
            </w:r>
          </w:p>
          <w:p w14:paraId="347635AF">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rPr>
              <w:t xml:space="preserve">3   </w:t>
            </w:r>
            <w:r>
              <w:rPr>
                <w:rFonts w:hint="eastAsia" w:ascii="Times New Roman" w:hAnsi="Times New Roman" w:eastAsia="仿宋_GB2312" w:cs="Times New Roman"/>
                <w:sz w:val="30"/>
                <w:szCs w:val="30"/>
                <w:lang w:val="en-US" w:eastAsia="zh-CN"/>
              </w:rPr>
              <w:t>先进性                                   05</w:t>
            </w:r>
          </w:p>
          <w:p w14:paraId="201ED8B8">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 xml:space="preserve">4   </w:t>
            </w:r>
            <w:r>
              <w:rPr>
                <w:rFonts w:hint="eastAsia" w:ascii="Times New Roman" w:hAnsi="Times New Roman" w:eastAsia="仿宋_GB2312" w:cs="Times New Roman"/>
                <w:kern w:val="2"/>
                <w:sz w:val="30"/>
                <w:szCs w:val="30"/>
                <w:lang w:val="en-US" w:eastAsia="zh-CN" w:bidi="ar-SA"/>
              </w:rPr>
              <w:t>主要试验(或验证)情况分析</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09</w:t>
            </w:r>
          </w:p>
          <w:p w14:paraId="02AB9F21">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5</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rPr>
              <w:t xml:space="preserve">标准中涉及专利的情况    </w:t>
            </w:r>
            <w:r>
              <w:rPr>
                <w:rFonts w:hint="eastAsia"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10</w:t>
            </w:r>
          </w:p>
          <w:p w14:paraId="13FA58C7">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6</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rPr>
              <w:t xml:space="preserve">预期达到的效益，对产业发展的作用的情况 </w:t>
            </w:r>
            <w:r>
              <w:rPr>
                <w:rFonts w:hint="eastAsia"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10</w:t>
            </w:r>
          </w:p>
          <w:p w14:paraId="5046C290">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7</w:t>
            </w:r>
            <w:r>
              <w:rPr>
                <w:rFonts w:hint="eastAsia" w:ascii="Times New Roman" w:hAnsi="Times New Roman" w:eastAsia="仿宋_GB2312" w:cs="Times New Roman"/>
                <w:sz w:val="30"/>
                <w:szCs w:val="30"/>
              </w:rPr>
              <w:t xml:space="preserve">   在标准体系中的位置</w:t>
            </w:r>
            <w:r>
              <w:rPr>
                <w:rFonts w:hint="eastAsia" w:ascii="Times New Roman" w:hAnsi="Times New Roman" w:eastAsia="仿宋_GB2312" w:cs="Times New Roman"/>
                <w:sz w:val="30"/>
                <w:szCs w:val="30"/>
                <w:lang w:val="en-US" w:eastAsia="zh-CN"/>
              </w:rPr>
              <w:t>等</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12</w:t>
            </w:r>
          </w:p>
          <w:p w14:paraId="4B618DFA">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8</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rPr>
              <w:t xml:space="preserve">重大分歧意见的处理经过和依据             </w:t>
            </w:r>
            <w:r>
              <w:rPr>
                <w:rFonts w:hint="eastAsia" w:ascii="Times New Roman" w:hAnsi="Times New Roman" w:eastAsia="仿宋_GB2312" w:cs="Times New Roman"/>
                <w:sz w:val="30"/>
                <w:szCs w:val="30"/>
                <w:lang w:val="en-US" w:eastAsia="zh-CN"/>
              </w:rPr>
              <w:t>13</w:t>
            </w:r>
          </w:p>
          <w:p w14:paraId="786F5C7E">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9</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标准性质的建议说明</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13</w:t>
            </w:r>
          </w:p>
          <w:p w14:paraId="03E0918B">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10</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贯彻标准的要求和措施建议</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13</w:t>
            </w:r>
          </w:p>
          <w:p w14:paraId="4D89081B">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11</w:t>
            </w:r>
            <w:r>
              <w:rPr>
                <w:rFonts w:hint="eastAsia" w:ascii="Times New Roman" w:hAnsi="Times New Roman" w:eastAsia="仿宋_GB2312" w:cs="Times New Roman"/>
                <w:sz w:val="30"/>
                <w:szCs w:val="30"/>
              </w:rPr>
              <w:t xml:space="preserve">   废止现行相关标准</w:t>
            </w:r>
            <w:r>
              <w:rPr>
                <w:rFonts w:hint="eastAsia" w:ascii="Times New Roman" w:hAnsi="Times New Roman" w:eastAsia="仿宋_GB2312" w:cs="Times New Roman"/>
                <w:sz w:val="30"/>
                <w:szCs w:val="30"/>
                <w:lang w:val="en-US" w:eastAsia="zh-CN"/>
              </w:rPr>
              <w:t xml:space="preserve">的建议 </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13</w:t>
            </w:r>
          </w:p>
          <w:p w14:paraId="4CEAF647">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12</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其他应予说明的事项</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13</w:t>
            </w:r>
          </w:p>
          <w:p w14:paraId="008D6189">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30"/>
                <w:szCs w:val="30"/>
              </w:rPr>
            </w:pPr>
          </w:p>
        </w:tc>
      </w:tr>
    </w:tbl>
    <w:p w14:paraId="539D5886">
      <w:pPr>
        <w:tabs>
          <w:tab w:val="left" w:pos="2672"/>
        </w:tabs>
        <w:bidi w:val="0"/>
        <w:jc w:val="left"/>
        <w:rPr>
          <w:rFonts w:hint="eastAsia"/>
          <w:lang w:val="en-US" w:eastAsia="zh-CN"/>
        </w:rPr>
        <w:sectPr>
          <w:type w:val="continuous"/>
          <w:pgSz w:w="11906" w:h="16841"/>
          <w:pgMar w:top="1440" w:right="1800" w:bottom="1440" w:left="1800" w:header="720" w:footer="720" w:gutter="0"/>
          <w:cols w:space="425" w:num="1"/>
          <w:docGrid w:linePitch="299" w:charSpace="0"/>
        </w:sectPr>
      </w:pPr>
    </w:p>
    <w:p w14:paraId="6A4E11E8">
      <w:pPr>
        <w:pStyle w:val="16"/>
        <w:numPr>
          <w:ilvl w:val="0"/>
          <w:numId w:val="0"/>
        </w:numPr>
        <w:spacing w:line="360" w:lineRule="auto"/>
        <w:ind w:leftChars="0"/>
        <w:jc w:val="left"/>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一、工作简况</w:t>
      </w:r>
    </w:p>
    <w:p w14:paraId="0BF2D892">
      <w:pPr>
        <w:pStyle w:val="16"/>
        <w:numPr>
          <w:ilvl w:val="0"/>
          <w:numId w:val="0"/>
        </w:numPr>
        <w:spacing w:line="360" w:lineRule="auto"/>
        <w:ind w:leftChars="0"/>
        <w:jc w:val="left"/>
        <w:rPr>
          <w:rFonts w:hint="eastAsia" w:ascii="仿宋" w:hAnsi="仿宋" w:eastAsia="仿宋" w:cs="仿宋"/>
          <w:color w:val="000000"/>
          <w:kern w:val="0"/>
          <w:sz w:val="32"/>
          <w:szCs w:val="32"/>
          <w:lang w:val="en-US" w:eastAsia="zh-CN" w:bidi="ar"/>
        </w:rPr>
      </w:pPr>
      <w:r>
        <w:rPr>
          <w:rFonts w:hint="eastAsia" w:ascii="黑体" w:hAnsi="黑体" w:eastAsia="黑体" w:cs="黑体"/>
          <w:b w:val="0"/>
          <w:bCs w:val="0"/>
          <w:kern w:val="2"/>
          <w:sz w:val="28"/>
          <w:szCs w:val="28"/>
          <w:lang w:val="en-US" w:eastAsia="zh-CN" w:bidi="ar-SA"/>
        </w:rPr>
        <w:t xml:space="preserve">（一）任务来源 </w:t>
      </w:r>
    </w:p>
    <w:p w14:paraId="48F01355">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left="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为响应国家对标准化战略的大力推动，持续深化标准化工作改革，加强标准体系建设，以提升引领高质量发展的能力，我们认识到有必要制定并完善《空气及废气中乙醇含量的检测方法》的标准，以满足市场对于高质量发展的需求。依</w:t>
      </w:r>
      <w:r>
        <w:rPr>
          <w:rFonts w:hint="eastAsia" w:ascii="仿宋" w:hAnsi="仿宋" w:eastAsia="仿宋" w:cs="仿宋"/>
          <w:color w:val="auto"/>
          <w:sz w:val="32"/>
          <w:szCs w:val="32"/>
          <w:lang w:val="en-US" w:eastAsia="zh-CN"/>
        </w:rPr>
        <w:t>据《浙江省科技查新咨询协会团体标准管理办法》，浙江省科技查新咨询协会已于2025年01月</w:t>
      </w:r>
      <w:r>
        <w:rPr>
          <w:rFonts w:hint="eastAsia" w:ascii="仿宋" w:hAnsi="仿宋" w:eastAsia="仿宋" w:cs="仿宋"/>
          <w:color w:val="000000" w:themeColor="text1"/>
          <w:sz w:val="32"/>
          <w:szCs w:val="32"/>
          <w:lang w:val="en-US" w:eastAsia="zh-CN"/>
          <w14:textFill>
            <w14:solidFill>
              <w14:schemeClr w14:val="tx1"/>
            </w14:solidFill>
          </w14:textFill>
        </w:rPr>
        <w:t>批准立项团体标准</w:t>
      </w:r>
      <w:r>
        <w:rPr>
          <w:rFonts w:hint="eastAsia" w:ascii="仿宋" w:hAnsi="仿宋" w:eastAsia="仿宋" w:cs="仿宋"/>
          <w:sz w:val="32"/>
          <w:szCs w:val="32"/>
          <w:lang w:val="en-US" w:eastAsia="zh-CN"/>
        </w:rPr>
        <w:t>《空气及废气中乙醇含量的检测方法》</w:t>
      </w:r>
      <w:r>
        <w:rPr>
          <w:rFonts w:hint="eastAsia" w:ascii="仿宋" w:hAnsi="仿宋" w:eastAsia="仿宋" w:cs="仿宋"/>
          <w:color w:val="auto"/>
          <w:sz w:val="32"/>
          <w:szCs w:val="32"/>
          <w:lang w:val="en-US" w:eastAsia="zh-CN"/>
        </w:rPr>
        <w:t>，</w:t>
      </w:r>
      <w:r>
        <w:rPr>
          <w:rFonts w:hint="eastAsia" w:ascii="仿宋" w:hAnsi="仿宋" w:eastAsia="仿宋" w:cs="仿宋"/>
          <w:sz w:val="32"/>
          <w:szCs w:val="32"/>
          <w:lang w:val="en-US" w:eastAsia="zh-CN"/>
        </w:rPr>
        <w:t>项目编号为：T/ZTNS 001-2025。根据《中华人民共和国标准化法》以及《团体标准管理规定》的相关规定，</w:t>
      </w:r>
      <w:r>
        <w:rPr>
          <w:rFonts w:hint="eastAsia" w:ascii="仿宋" w:hAnsi="仿宋" w:eastAsia="仿宋" w:cs="仿宋"/>
          <w:color w:val="auto"/>
          <w:sz w:val="32"/>
          <w:szCs w:val="32"/>
          <w:lang w:val="en-US" w:eastAsia="zh-CN"/>
        </w:rPr>
        <w:t>浙江省科技查新咨询协会</w:t>
      </w:r>
      <w:r>
        <w:rPr>
          <w:rFonts w:hint="eastAsia" w:ascii="仿宋" w:hAnsi="仿宋" w:eastAsia="仿宋" w:cs="仿宋"/>
          <w:sz w:val="32"/>
          <w:szCs w:val="32"/>
          <w:lang w:val="en-US" w:eastAsia="zh-CN"/>
        </w:rPr>
        <w:t>决定立项对浙江首信检测有限公司等相关单位共同制定《空气及废气中乙醇含量的检测方法》团体标准。通过建立健全行业标准体系，可为我国相关领域环境管理提供科学化技术支撑。该体系将指导企业开展合规排放评估、精准溯源解析污染物排放特征，并构建基于环境暴露评估的健康风险预警机制。同时，通过标准规范引领产业绿色转型，可协同推进大气污染深度治理与减污降碳协同增效，助力我国如期实现碳达峰碳中和战略目标。</w:t>
      </w:r>
    </w:p>
    <w:p w14:paraId="1CAB7453">
      <w:pPr>
        <w:pStyle w:val="16"/>
        <w:numPr>
          <w:ilvl w:val="0"/>
          <w:numId w:val="0"/>
        </w:numPr>
        <w:spacing w:line="360" w:lineRule="auto"/>
        <w:ind w:leftChars="0"/>
        <w:jc w:val="left"/>
        <w:rPr>
          <w:rFonts w:hint="eastAsia" w:ascii="黑体" w:hAnsi="黑体" w:eastAsia="黑体" w:cs="黑体"/>
          <w:b w:val="0"/>
          <w:bCs w:val="0"/>
          <w:kern w:val="2"/>
          <w:sz w:val="28"/>
          <w:szCs w:val="28"/>
          <w:lang w:val="en-US" w:eastAsia="zh-CN" w:bidi="ar-SA"/>
        </w:rPr>
      </w:pPr>
      <w:r>
        <w:rPr>
          <w:rFonts w:hint="eastAsia" w:ascii="黑体" w:hAnsi="黑体" w:eastAsia="黑体" w:cs="黑体"/>
          <w:b w:val="0"/>
          <w:bCs w:val="0"/>
          <w:kern w:val="2"/>
          <w:sz w:val="28"/>
          <w:szCs w:val="28"/>
          <w:lang w:val="en-US" w:eastAsia="zh-CN" w:bidi="ar-SA"/>
        </w:rPr>
        <w:t xml:space="preserve">（二）编制背景及目的 </w:t>
      </w:r>
    </w:p>
    <w:p w14:paraId="755F66EF">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left="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本文件主要基于业务需求、标准缺失等背景，由浙江首信检测有限公司提出填补国内空气及废气中乙醇含量的检测方法标准空白。</w:t>
      </w:r>
    </w:p>
    <w:p w14:paraId="0B237CD2">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left="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随着乙醇在化工、制药等行业的广泛应用，其作为清洗剂、溶剂及原料的排放已成为空气及废气中挥发性有机物（VOCs）的重要来源，此外，乙醇作为含氧挥发性有机物（OVOCs），具有光化学活性，是臭氧和二次有机气溶胶的前体物，亟需规范化的监测手段以支撑污染溯源和管控。在进行环评及其他政府规定事项时，需对空气及废气中的乙醇含量进行监测。然而</w:t>
      </w:r>
      <w:r>
        <w:rPr>
          <w:rFonts w:hint="eastAsia" w:ascii="仿宋" w:hAnsi="仿宋" w:eastAsia="仿宋" w:cs="仿宋"/>
          <w:sz w:val="32"/>
          <w:szCs w:val="32"/>
          <w:lang w:val="en-US" w:eastAsia="zh-CN"/>
        </w:rPr>
        <w:t>，我国尚未建立针对环境空气和废气中乙醇含量的国家或行业检测标准。</w:t>
      </w:r>
    </w:p>
    <w:p w14:paraId="25D7FE03">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left="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我国现行标准《工作场所中有毒有害物质的测定-醇类化合物》（GBZ/T169.48-2004）虽规定了监测工作场所中醇类化合</w:t>
      </w:r>
      <w:r>
        <w:rPr>
          <w:rFonts w:hint="eastAsia" w:ascii="仿宋" w:hAnsi="仿宋" w:eastAsia="仿宋" w:cs="仿宋"/>
          <w:sz w:val="32"/>
          <w:szCs w:val="32"/>
          <w:lang w:val="en-US" w:eastAsia="zh-CN"/>
        </w:rPr>
        <w:t>物浓度的方法，但并不包括乙醇，无法满足当前对空气及废气中乙醇含量检测的需求。目前，国内各检测机构一般采用 NIOSH（美国国家职业安全卫生研究所工业卫生检测方法手册）1400-1994 醇类开展相关检测，且已有大量国内检测机构对该方法检测空气及废气中乙醇含量开展检测业务。NIOSH方法属于国外机构手册，未被国际标准组织（ISO）或我国直接采纳为标准。在缺乏国内等效</w:t>
      </w:r>
      <w:r>
        <w:rPr>
          <w:rFonts w:hint="eastAsia" w:ascii="仿宋" w:hAnsi="仿宋" w:eastAsia="仿宋" w:cs="仿宋"/>
          <w:sz w:val="32"/>
          <w:szCs w:val="32"/>
          <w:lang w:val="en-US" w:eastAsia="zh-CN"/>
        </w:rPr>
        <w:t>标准的情况</w:t>
      </w:r>
      <w:r>
        <w:rPr>
          <w:rFonts w:hint="eastAsia" w:ascii="仿宋" w:hAnsi="仿宋" w:eastAsia="仿宋" w:cs="仿宋"/>
          <w:sz w:val="32"/>
          <w:szCs w:val="32"/>
          <w:lang w:val="en-US" w:eastAsia="zh-CN"/>
        </w:rPr>
        <w:t>下，检测结果的权威性可能受质疑，尤其在法律纠纷或跨境贸易场景中。</w:t>
      </w:r>
    </w:p>
    <w:p w14:paraId="356030C2">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left="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文件旨在填补国内空气和废气中乙醇检测标准空白，采用成熟的气相色谱法，明确了采样、分析、计算等全流程的检测方法，以及质量保证和质量控制的计算方法，提升了检测限和数据可比性。同时，为环境管理提供技术</w:t>
      </w:r>
      <w:r>
        <w:rPr>
          <w:rFonts w:hint="eastAsia" w:ascii="仿宋" w:hAnsi="仿宋" w:eastAsia="仿宋" w:cs="仿宋"/>
          <w:sz w:val="32"/>
          <w:szCs w:val="32"/>
          <w:lang w:val="en-US" w:eastAsia="zh-CN"/>
        </w:rPr>
        <w:t>支撑，助力企业合规排放评估、污染源解析及健康风险防控，推动大气污染防治和“双碳”目标的</w:t>
      </w:r>
      <w:r>
        <w:rPr>
          <w:rFonts w:hint="eastAsia" w:ascii="仿宋" w:hAnsi="仿宋" w:eastAsia="仿宋" w:cs="仿宋"/>
          <w:sz w:val="32"/>
          <w:szCs w:val="32"/>
          <w:lang w:val="en-US" w:eastAsia="zh-CN"/>
        </w:rPr>
        <w:t>实现。</w:t>
      </w:r>
    </w:p>
    <w:p w14:paraId="1F1CA685">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综上所述，《空气及废气中乙醇含量的检测方法》的编制背景及目的均是为了满足市场需求和技术发展的要求，推动行业标准化、规范化进程，提高检测效率和准确性，保障产品质量和安全。</w:t>
      </w:r>
    </w:p>
    <w:p w14:paraId="29366E91">
      <w:pPr>
        <w:pStyle w:val="16"/>
        <w:numPr>
          <w:ilvl w:val="0"/>
          <w:numId w:val="0"/>
        </w:numPr>
        <w:spacing w:line="360" w:lineRule="auto"/>
        <w:ind w:leftChars="0"/>
        <w:jc w:val="left"/>
        <w:rPr>
          <w:rFonts w:hint="eastAsia" w:ascii="黑体" w:hAnsi="黑体" w:eastAsia="黑体" w:cs="黑体"/>
          <w:b w:val="0"/>
          <w:bCs w:val="0"/>
          <w:kern w:val="2"/>
          <w:sz w:val="28"/>
          <w:szCs w:val="28"/>
          <w:lang w:val="en-US" w:eastAsia="zh-CN" w:bidi="ar-SA"/>
        </w:rPr>
      </w:pPr>
      <w:r>
        <w:rPr>
          <w:rFonts w:hint="eastAsia" w:ascii="黑体" w:hAnsi="黑体" w:eastAsia="黑体" w:cs="黑体"/>
          <w:b w:val="0"/>
          <w:bCs w:val="0"/>
          <w:kern w:val="2"/>
          <w:sz w:val="28"/>
          <w:szCs w:val="28"/>
          <w:lang w:val="en-US" w:eastAsia="zh-CN" w:bidi="ar-SA"/>
        </w:rPr>
        <w:t xml:space="preserve">（三）编制过程 </w:t>
      </w:r>
    </w:p>
    <w:p w14:paraId="6685667D">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1、项目立项阶段</w:t>
      </w:r>
    </w:p>
    <w:p w14:paraId="427ADB6E">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left="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填报《浙江省科技查新咨询协会团体标准制定修订项目建议书》，成立团体标准工作组，标准立项与2025年1月，浙江省科技查新咨询协会发布了关于《空气及废气中乙醇含量的检测方法》团体标准立项的公告（浙科查协[2025]001号），等待审批。</w:t>
      </w:r>
    </w:p>
    <w:p w14:paraId="09EC99F0">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2、理论研究阶段</w:t>
      </w:r>
    </w:p>
    <w:p w14:paraId="0E4DEF87">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left="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针对当前国内普遍采用的 NIOSH 1400-1994（美国国家职业安全卫生研究所工业卫生检测方法手册）方法框架，工作组系统开展了技术优化与标准化适应性研究。现行检测实践显示，虽然NIOSH 1400-1994已广泛应用于空气和废气中乙醇的检测，但其核心方法仍基于工作场所环境设计，未充分适配环境空气及工业废气中乙醇浓度低、基质复杂的特点。</w:t>
      </w:r>
    </w:p>
    <w:p w14:paraId="65485776">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left="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工作组重点优化了气相色谱法（GC）的采样。对环境空气样品、无组织排放样品以及固定污染源废气样品采样方式参考中国标准进行了明确。在质量保证和质量控制方面，明确了标准曲线相关系数以及活性炭采样管吸附效率计算方法等。</w:t>
      </w:r>
    </w:p>
    <w:p w14:paraId="7A15508A">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3、标准起草阶段</w:t>
      </w:r>
    </w:p>
    <w:p w14:paraId="09F27CA3">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2025年</w:t>
      </w:r>
      <w:r>
        <w:rPr>
          <w:rFonts w:hint="eastAsia" w:ascii="仿宋" w:hAnsi="仿宋" w:eastAsia="仿宋" w:cs="仿宋"/>
          <w:sz w:val="32"/>
          <w:szCs w:val="32"/>
          <w:lang w:val="en-US" w:eastAsia="zh-CN"/>
        </w:rPr>
        <w:t>03月</w:t>
      </w:r>
      <w:r>
        <w:rPr>
          <w:rFonts w:hint="eastAsia" w:ascii="仿宋" w:hAnsi="仿宋" w:eastAsia="仿宋" w:cs="仿宋"/>
          <w:color w:val="000000" w:themeColor="text1"/>
          <w:sz w:val="32"/>
          <w:szCs w:val="32"/>
          <w:lang w:val="en-US" w:eastAsia="zh-CN"/>
          <w14:textFill>
            <w14:solidFill>
              <w14:schemeClr w14:val="tx1"/>
            </w14:solidFill>
          </w14:textFill>
        </w:rPr>
        <w:t>，浙江首信检测有限公司按照“</w:t>
      </w:r>
      <w:r>
        <w:rPr>
          <w:rFonts w:hint="eastAsia" w:ascii="仿宋" w:hAnsi="仿宋" w:eastAsia="仿宋" w:cs="仿宋"/>
          <w:color w:val="auto"/>
          <w:sz w:val="32"/>
          <w:szCs w:val="32"/>
          <w:lang w:val="en-US" w:eastAsia="zh-CN"/>
        </w:rPr>
        <w:t>浙江省科技查新咨询协会</w:t>
      </w:r>
      <w:r>
        <w:rPr>
          <w:rFonts w:hint="eastAsia" w:ascii="仿宋" w:hAnsi="仿宋" w:eastAsia="仿宋" w:cs="仿宋"/>
          <w:color w:val="000000" w:themeColor="text1"/>
          <w:sz w:val="32"/>
          <w:szCs w:val="32"/>
          <w:lang w:val="en-US" w:eastAsia="zh-CN"/>
          <w14:textFill>
            <w14:solidFill>
              <w14:schemeClr w14:val="tx1"/>
            </w14:solidFill>
          </w14:textFill>
        </w:rPr>
        <w:t>关于《空气及废气中乙醇含量的检测方法》团体标准立项的公告”要求</w:t>
      </w:r>
      <w:r>
        <w:rPr>
          <w:rFonts w:hint="eastAsia" w:ascii="仿宋" w:hAnsi="仿宋" w:eastAsia="仿宋" w:cs="仿宋"/>
          <w:sz w:val="32"/>
          <w:szCs w:val="32"/>
          <w:lang w:val="en-US" w:eastAsia="zh-CN"/>
        </w:rPr>
        <w:t>，召开专家研讨会，从标准框架、标准起草等角度广泛论证，从理论完善和实践应用方面提升标准的适用性和实用性。经过理论研究和方法验证，明确和规范空气及废气中乙醇含量的检测方法和技术要求，在此基础上编制了《空气及废气中乙醇含量的检测方法》标准草案。</w:t>
      </w:r>
    </w:p>
    <w:p w14:paraId="0A513C18">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4、标准征求意见阶段</w:t>
      </w:r>
    </w:p>
    <w:p w14:paraId="0547A024">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于2025年05月</w:t>
      </w:r>
      <w:r>
        <w:rPr>
          <w:rFonts w:hint="eastAsia" w:ascii="仿宋" w:hAnsi="仿宋" w:eastAsia="仿宋" w:cs="仿宋"/>
          <w:sz w:val="32"/>
          <w:szCs w:val="32"/>
          <w:lang w:val="en-US" w:eastAsia="zh-CN"/>
        </w:rPr>
        <w:t>提交《空气及废气中乙醇含量的检测方法》标准征求意见稿及征求意见稿编制说明，拟定于</w:t>
      </w:r>
      <w:r>
        <w:rPr>
          <w:rFonts w:hint="eastAsia" w:ascii="仿宋" w:hAnsi="仿宋" w:eastAsia="仿宋" w:cs="仿宋"/>
          <w:color w:val="auto"/>
          <w:sz w:val="32"/>
          <w:szCs w:val="32"/>
          <w:lang w:val="en-US" w:eastAsia="zh-CN"/>
        </w:rPr>
        <w:t>2025年05月</w:t>
      </w:r>
      <w:r>
        <w:rPr>
          <w:rFonts w:hint="eastAsia" w:ascii="仿宋" w:hAnsi="仿宋" w:eastAsia="仿宋" w:cs="仿宋"/>
          <w:sz w:val="32"/>
          <w:szCs w:val="32"/>
          <w:lang w:val="en-US" w:eastAsia="zh-CN"/>
        </w:rPr>
        <w:t>网上公示征求意见稿，广泛征求各方意见和建议。</w:t>
      </w:r>
    </w:p>
    <w:p w14:paraId="3DA3E156">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5、专家审核</w:t>
      </w:r>
    </w:p>
    <w:p w14:paraId="00ED09F6">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拟定</w:t>
      </w:r>
      <w:r>
        <w:rPr>
          <w:rFonts w:hint="eastAsia" w:ascii="仿宋" w:hAnsi="仿宋" w:eastAsia="仿宋" w:cs="仿宋"/>
          <w:color w:val="auto"/>
          <w:sz w:val="32"/>
          <w:szCs w:val="32"/>
          <w:lang w:val="en-US" w:eastAsia="zh-CN"/>
        </w:rPr>
        <w:t>于2025年6月</w:t>
      </w:r>
      <w:r>
        <w:rPr>
          <w:rFonts w:hint="eastAsia" w:ascii="仿宋" w:hAnsi="仿宋" w:eastAsia="仿宋" w:cs="仿宋"/>
          <w:sz w:val="32"/>
          <w:szCs w:val="32"/>
          <w:lang w:val="en-US" w:eastAsia="zh-CN"/>
        </w:rPr>
        <w:t>召集专家审核标准，汇总专家审核意见，进行修改、完善。</w:t>
      </w:r>
    </w:p>
    <w:p w14:paraId="100A083F">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6、发布</w:t>
      </w:r>
    </w:p>
    <w:p w14:paraId="6C18297D">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拟</w:t>
      </w:r>
      <w:r>
        <w:rPr>
          <w:rFonts w:hint="eastAsia" w:ascii="仿宋" w:hAnsi="仿宋" w:eastAsia="仿宋" w:cs="仿宋"/>
          <w:color w:val="auto"/>
          <w:sz w:val="32"/>
          <w:szCs w:val="32"/>
          <w:lang w:val="en-US" w:eastAsia="zh-CN"/>
        </w:rPr>
        <w:t>定于2025年6月发布</w:t>
      </w:r>
      <w:r>
        <w:rPr>
          <w:rFonts w:hint="eastAsia" w:ascii="仿宋" w:hAnsi="仿宋" w:eastAsia="仿宋" w:cs="仿宋"/>
          <w:sz w:val="32"/>
          <w:szCs w:val="32"/>
          <w:lang w:val="en-US" w:eastAsia="zh-CN"/>
        </w:rPr>
        <w:t>标准并实施。</w:t>
      </w:r>
    </w:p>
    <w:p w14:paraId="009D28CE">
      <w:pPr>
        <w:spacing w:line="360" w:lineRule="auto"/>
        <w:jc w:val="left"/>
        <w:rPr>
          <w:rFonts w:ascii="宋体" w:hAnsi="宋体" w:eastAsia="宋体"/>
          <w:sz w:val="28"/>
          <w:szCs w:val="28"/>
        </w:rPr>
      </w:pPr>
      <w:r>
        <w:rPr>
          <w:rFonts w:hint="eastAsia" w:ascii="黑体" w:hAnsi="黑体" w:eastAsia="黑体" w:cs="黑体"/>
          <w:b w:val="0"/>
          <w:bCs w:val="0"/>
          <w:kern w:val="2"/>
          <w:sz w:val="28"/>
          <w:szCs w:val="28"/>
          <w:lang w:val="en-US" w:eastAsia="zh-CN" w:bidi="ar-SA"/>
        </w:rPr>
        <w:t>（四）主要起草单位及起草人所做的工作</w:t>
      </w:r>
      <w:r>
        <w:rPr>
          <w:rFonts w:ascii="宋体" w:hAnsi="宋体" w:eastAsia="宋体"/>
          <w:sz w:val="28"/>
          <w:szCs w:val="28"/>
        </w:rPr>
        <w:t xml:space="preserve">  </w:t>
      </w:r>
    </w:p>
    <w:p w14:paraId="7310DC9C">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color w:val="FF0000"/>
          <w:sz w:val="32"/>
          <w:szCs w:val="32"/>
          <w:lang w:val="en-US" w:eastAsia="zh-CN"/>
        </w:rPr>
      </w:pPr>
      <w:r>
        <w:rPr>
          <w:rFonts w:hint="eastAsia" w:ascii="仿宋" w:hAnsi="仿宋" w:eastAsia="仿宋" w:cs="仿宋"/>
          <w:sz w:val="32"/>
          <w:szCs w:val="32"/>
          <w:lang w:val="en-US" w:eastAsia="zh-CN"/>
        </w:rPr>
        <w:t>1、</w:t>
      </w:r>
      <w:r>
        <w:rPr>
          <w:rFonts w:hint="eastAsia" w:ascii="仿宋" w:hAnsi="仿宋" w:eastAsia="仿宋" w:cs="仿宋"/>
          <w:color w:val="auto"/>
          <w:sz w:val="32"/>
          <w:szCs w:val="32"/>
          <w:lang w:val="en-US" w:eastAsia="zh-CN"/>
        </w:rPr>
        <w:t>主要起草单位</w:t>
      </w:r>
    </w:p>
    <w:p w14:paraId="3AFF020E">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浙江首信检测有限公司等</w:t>
      </w:r>
      <w:r>
        <w:rPr>
          <w:rFonts w:hint="eastAsia" w:ascii="仿宋" w:hAnsi="仿宋" w:eastAsia="仿宋" w:cs="仿宋"/>
          <w:sz w:val="32"/>
          <w:szCs w:val="32"/>
          <w:lang w:val="en-US" w:eastAsia="zh-CN"/>
        </w:rPr>
        <w:t>。</w:t>
      </w:r>
    </w:p>
    <w:p w14:paraId="7E7CB8C4">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2、工作内容</w:t>
      </w:r>
    </w:p>
    <w:p w14:paraId="6B0ACACF">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ascii="宋体" w:hAnsi="宋体" w:eastAsia="宋体"/>
          <w:sz w:val="28"/>
          <w:szCs w:val="28"/>
        </w:rPr>
      </w:pPr>
      <w:r>
        <w:rPr>
          <w:rFonts w:hint="eastAsia" w:ascii="仿宋" w:hAnsi="仿宋" w:eastAsia="仿宋" w:cs="仿宋"/>
          <w:sz w:val="32"/>
          <w:szCs w:val="32"/>
          <w:lang w:val="en-US" w:eastAsia="zh-CN"/>
        </w:rPr>
        <w:t xml:space="preserve">所做的工作：标准工作的总体策划、组织；立项及协调工作组工作；标准文本及编制说明的起草和编写；协助标准文本及编制说明的编写；对国内外相关标准的调研和搜集；对密封性能试验机操作方法及技术规范进行测试和验证等。 </w:t>
      </w:r>
      <w:r>
        <w:rPr>
          <w:rFonts w:hint="eastAsia" w:ascii="宋体" w:hAnsi="宋体" w:eastAsia="宋体"/>
          <w:sz w:val="28"/>
          <w:szCs w:val="28"/>
        </w:rPr>
        <w:t xml:space="preserve"> </w:t>
      </w:r>
    </w:p>
    <w:p w14:paraId="1CAB2F1F">
      <w:pPr>
        <w:pStyle w:val="16"/>
        <w:numPr>
          <w:ilvl w:val="0"/>
          <w:numId w:val="0"/>
        </w:numPr>
        <w:spacing w:line="360" w:lineRule="auto"/>
        <w:ind w:leftChars="0"/>
        <w:jc w:val="left"/>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二、标准编制原则和主要内容</w:t>
      </w:r>
    </w:p>
    <w:p w14:paraId="5AF4FCB6">
      <w:pPr>
        <w:spacing w:line="360" w:lineRule="auto"/>
        <w:jc w:val="left"/>
        <w:rPr>
          <w:rFonts w:hint="eastAsia" w:ascii="黑体" w:hAnsi="黑体" w:eastAsia="黑体" w:cs="黑体"/>
          <w:b w:val="0"/>
          <w:bCs w:val="0"/>
          <w:kern w:val="2"/>
          <w:sz w:val="28"/>
          <w:szCs w:val="28"/>
          <w:lang w:val="en-US" w:eastAsia="zh-CN" w:bidi="ar-SA"/>
        </w:rPr>
      </w:pPr>
      <w:r>
        <w:rPr>
          <w:rFonts w:hint="eastAsia" w:ascii="黑体" w:hAnsi="黑体" w:eastAsia="黑体" w:cs="黑体"/>
          <w:b w:val="0"/>
          <w:bCs w:val="0"/>
          <w:kern w:val="2"/>
          <w:sz w:val="28"/>
          <w:szCs w:val="28"/>
          <w:lang w:val="en-US" w:eastAsia="zh-CN" w:bidi="ar-SA"/>
        </w:rPr>
        <w:t>（一）标准制定原则</w:t>
      </w:r>
    </w:p>
    <w:p w14:paraId="32A8C7DD">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本文件的制定符合产业发展和市场需要原则，本着科学性、适用性、先进性、合理性、可操作性、一致性和规范性原则来进行本文件的制定。</w:t>
      </w:r>
    </w:p>
    <w:p w14:paraId="4FB66AB7">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1.科学性原则。本文件的制定应综合考虑《空气及废气中乙醇含量的检测方法》</w:t>
      </w:r>
      <w:r>
        <w:rPr>
          <w:rFonts w:hint="eastAsia" w:ascii="仿宋" w:hAnsi="仿宋" w:eastAsia="仿宋" w:cs="仿宋"/>
          <w:sz w:val="32"/>
          <w:szCs w:val="32"/>
          <w:lang w:val="en-US" w:eastAsia="zh-CN"/>
        </w:rPr>
        <w:t>和技术要求</w:t>
      </w:r>
      <w:r>
        <w:rPr>
          <w:rFonts w:hint="eastAsia" w:ascii="仿宋" w:hAnsi="仿宋" w:eastAsia="仿宋" w:cs="仿宋"/>
          <w:sz w:val="32"/>
          <w:szCs w:val="32"/>
          <w:highlight w:val="none"/>
          <w:lang w:val="en-US" w:eastAsia="zh-CN"/>
        </w:rPr>
        <w:t>中的各种要素，应基于科学研究和实验数据，遵循科学原理和技术规律，采用科学的方法和手段进行试验、测试和验证，确保标准的技术要求和性能指标的准确性和可靠性。</w:t>
      </w:r>
    </w:p>
    <w:p w14:paraId="420CADEB">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2.实用性原则。本文件的制定应具有技术要求和性能指标均具有可操作性和可实施性，以便于制造商、用户及相关方能够有效应用标准进行生产、检测和使用。</w:t>
      </w:r>
    </w:p>
    <w:p w14:paraId="013BF7D6">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先进性原则。本文件的制定应充分反映当前行业技术发展的前沿水平，并具有适应未来技术发展的能力，以引领和推动行业的技术进步和创新，还必须考虑到未来的发展趋势和需求，体现标准的前瞻性和引导性。</w:t>
      </w:r>
    </w:p>
    <w:p w14:paraId="6DA127DB">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4.合理性原则。本文件的制定应确保技术要求和性能指标在科学性和实用性的基础上，既符合经济效率和市场需求，又考虑到资源的合理利用和可持续发展。</w:t>
      </w:r>
    </w:p>
    <w:p w14:paraId="56FE1ED4">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5.可操作性原则。本文件的制定应明确规定清晰、具体且可执行的技术要求和操作步骤，以确保各方能够无歧义地理解、执行和应用标准。</w:t>
      </w:r>
    </w:p>
    <w:p w14:paraId="71FA3161">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6.一致性原则。本文件的制定应与相关的国家、行业和国际标准相协调一致，确保标准的兼容性和互操作性，同时避免与现有相关标准发生冲突。</w:t>
      </w:r>
    </w:p>
    <w:p w14:paraId="083E9E45">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7.规范性原则。本文件的制定应遵循标准化基本原则，确保标准的格式、结构和表述规范统一，以便于标准的理解和实施。</w:t>
      </w:r>
    </w:p>
    <w:p w14:paraId="4E62C132">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256" w:firstLineChars="100"/>
        <w:textAlignment w:val="auto"/>
        <w:rPr>
          <w:rFonts w:hint="eastAsia" w:ascii="仿宋" w:hAnsi="仿宋" w:eastAsia="仿宋" w:cs="仿宋"/>
          <w:sz w:val="32"/>
          <w:szCs w:val="32"/>
          <w:highlight w:val="none"/>
          <w:lang w:val="en-US" w:eastAsia="zh-CN"/>
        </w:rPr>
      </w:pPr>
      <w:r>
        <w:rPr>
          <w:rFonts w:hint="default" w:ascii="Segoe UI" w:hAnsi="Segoe UI" w:eastAsia="Segoe UI" w:cs="Segoe UI"/>
          <w:i w:val="0"/>
          <w:iCs w:val="0"/>
          <w:caps w:val="0"/>
          <w:color w:val="DEE0EB"/>
          <w:spacing w:val="8"/>
          <w:kern w:val="0"/>
          <w:sz w:val="24"/>
          <w:szCs w:val="24"/>
          <w:shd w:val="clear" w:fill="FFFFFF"/>
          <w:lang w:val="en-US" w:eastAsia="zh-CN" w:bidi="ar"/>
        </w:rPr>
        <w:t>||</w:t>
      </w:r>
      <w:r>
        <w:rPr>
          <w:rFonts w:hint="eastAsia" w:ascii="仿宋" w:hAnsi="仿宋" w:eastAsia="仿宋" w:cs="仿宋"/>
          <w:sz w:val="32"/>
          <w:szCs w:val="32"/>
          <w:lang w:val="en-US" w:eastAsia="zh-CN"/>
        </w:rPr>
        <w:t>本文件起草过程中，主要按照GB/T 1.1-2020《标准化工作导则第1部分：标准化文件的结构和起草规则》进行编写。</w:t>
      </w:r>
      <w:r>
        <w:rPr>
          <w:rFonts w:hint="eastAsia" w:ascii="仿宋" w:hAnsi="仿宋" w:eastAsia="仿宋" w:cs="仿宋"/>
          <w:sz w:val="32"/>
          <w:szCs w:val="32"/>
          <w:highlight w:val="none"/>
          <w:lang w:val="en-US" w:eastAsia="zh-CN"/>
        </w:rPr>
        <w:t>本文件制定过程中，主要参考了以下标准或文件。</w:t>
      </w:r>
    </w:p>
    <w:p w14:paraId="458C0267">
      <w:pPr>
        <w:pStyle w:val="18"/>
        <w:shd w:val="clear"/>
        <w:ind w:firstLine="420"/>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GB/T 16157 固定污染源排气中颗粒物测定与气态污染物采样方法</w:t>
      </w:r>
    </w:p>
    <w:p w14:paraId="2934109D">
      <w:pPr>
        <w:pStyle w:val="18"/>
        <w:shd w:val="clear"/>
        <w:ind w:firstLine="420"/>
        <w:rPr>
          <w:rFonts w:hint="eastAsia"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GB 16297</w:t>
      </w:r>
      <w:r>
        <w:rPr>
          <w:rFonts w:hint="eastAsia" w:ascii="仿宋" w:hAnsi="仿宋" w:eastAsia="仿宋" w:cs="仿宋"/>
          <w:kern w:val="2"/>
          <w:sz w:val="32"/>
          <w:szCs w:val="32"/>
          <w:lang w:val="en-US" w:eastAsia="zh-CN" w:bidi="ar-SA"/>
        </w:rPr>
        <w:t>—</w:t>
      </w:r>
      <w:r>
        <w:rPr>
          <w:rFonts w:hint="default" w:ascii="仿宋" w:hAnsi="仿宋" w:eastAsia="仿宋" w:cs="仿宋"/>
          <w:kern w:val="2"/>
          <w:sz w:val="32"/>
          <w:szCs w:val="32"/>
          <w:lang w:val="en-US" w:eastAsia="zh-CN" w:bidi="ar-SA"/>
        </w:rPr>
        <w:t>1996</w:t>
      </w:r>
      <w:r>
        <w:rPr>
          <w:rFonts w:hint="eastAsia" w:ascii="仿宋" w:hAnsi="仿宋" w:eastAsia="仿宋" w:cs="仿宋"/>
          <w:kern w:val="2"/>
          <w:sz w:val="32"/>
          <w:szCs w:val="32"/>
          <w:lang w:val="en-US" w:eastAsia="zh-CN" w:bidi="ar-SA"/>
        </w:rPr>
        <w:t xml:space="preserve"> 大气污染物综合排放标准</w:t>
      </w:r>
    </w:p>
    <w:p w14:paraId="191EEF09">
      <w:pPr>
        <w:pStyle w:val="18"/>
        <w:shd w:val="clear"/>
        <w:ind w:firstLine="420"/>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HJ/T 55 大气污染物无组织排放监测技术导则</w:t>
      </w:r>
    </w:p>
    <w:p w14:paraId="07BD939A">
      <w:pPr>
        <w:pStyle w:val="18"/>
        <w:shd w:val="clear"/>
        <w:ind w:firstLine="420"/>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HJ/T 194 环境空气质量手工监测技术规范</w:t>
      </w:r>
    </w:p>
    <w:p w14:paraId="003559DF">
      <w:pPr>
        <w:pStyle w:val="18"/>
        <w:shd w:val="clear"/>
        <w:ind w:firstLine="420"/>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HJ 664 环境空气质量监测点位布设技术规范（试行）</w:t>
      </w:r>
    </w:p>
    <w:p w14:paraId="14103C4B">
      <w:pPr>
        <w:pStyle w:val="18"/>
        <w:shd w:val="clear"/>
        <w:ind w:firstLine="420"/>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HJ 1346.1</w:t>
      </w:r>
      <w:r>
        <w:rPr>
          <w:rFonts w:hint="eastAsia" w:ascii="仿宋" w:hAnsi="仿宋" w:eastAsia="仿宋" w:cs="仿宋"/>
          <w:kern w:val="2"/>
          <w:sz w:val="32"/>
          <w:szCs w:val="32"/>
          <w:lang w:val="en-US" w:eastAsia="zh-CN" w:bidi="ar-SA"/>
        </w:rPr>
        <w:t>—</w:t>
      </w:r>
      <w:r>
        <w:rPr>
          <w:rFonts w:hint="default" w:ascii="仿宋" w:hAnsi="仿宋" w:eastAsia="仿宋" w:cs="仿宋"/>
          <w:kern w:val="2"/>
          <w:sz w:val="32"/>
          <w:szCs w:val="32"/>
          <w:lang w:val="en-US" w:eastAsia="zh-CN" w:bidi="ar-SA"/>
        </w:rPr>
        <w:t>2024 固定污染源基本数据集 第1部分 基础信息</w:t>
      </w:r>
    </w:p>
    <w:p w14:paraId="32B98492">
      <w:pPr>
        <w:spacing w:line="360" w:lineRule="auto"/>
        <w:jc w:val="left"/>
        <w:rPr>
          <w:rFonts w:ascii="宋体" w:hAnsi="宋体" w:eastAsia="宋体"/>
          <w:sz w:val="28"/>
          <w:szCs w:val="28"/>
        </w:rPr>
      </w:pPr>
      <w:r>
        <w:rPr>
          <w:rFonts w:hint="eastAsia" w:ascii="黑体" w:hAnsi="黑体" w:eastAsia="黑体" w:cs="黑体"/>
          <w:b w:val="0"/>
          <w:bCs w:val="0"/>
          <w:kern w:val="2"/>
          <w:sz w:val="28"/>
          <w:szCs w:val="28"/>
          <w:lang w:val="en-US" w:eastAsia="zh-CN" w:bidi="ar-SA"/>
        </w:rPr>
        <w:t>（二） 标准主要技术内容</w:t>
      </w:r>
      <w:r>
        <w:rPr>
          <w:rFonts w:ascii="宋体" w:hAnsi="宋体" w:eastAsia="宋体"/>
          <w:b/>
          <w:bCs/>
          <w:sz w:val="28"/>
          <w:szCs w:val="28"/>
        </w:rPr>
        <w:t xml:space="preserve"> </w:t>
      </w:r>
      <w:r>
        <w:rPr>
          <w:rFonts w:ascii="宋体" w:hAnsi="宋体" w:eastAsia="宋体"/>
          <w:sz w:val="28"/>
          <w:szCs w:val="28"/>
        </w:rPr>
        <w:t xml:space="preserve"> </w:t>
      </w:r>
    </w:p>
    <w:p w14:paraId="33FEB2DA">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本标准征求意见稿包括15个部分，主要内容如下：</w:t>
      </w:r>
    </w:p>
    <w:p w14:paraId="2B486672">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1.范围：介绍本文件的主要内容以及本文件所适用的领域。 </w:t>
      </w:r>
    </w:p>
    <w:p w14:paraId="5EA38B16">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2.规范性引用文件：列出了本文件引用的标准文件。 </w:t>
      </w:r>
    </w:p>
    <w:p w14:paraId="5AF0FF6E">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3.术语和定义：列出了本文件所界定的术语和定义。</w:t>
      </w:r>
    </w:p>
    <w:p w14:paraId="62BE9CC2">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4.原理：基于气相色谱法分离并检测乙醇，利用氢火焰离子化检测器（FID）进行信号响应，实现乙醇的定量分析。</w:t>
      </w:r>
    </w:p>
    <w:p w14:paraId="24A2E812">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5.干扰和消除：主要干扰源自二硫化碳的杂质，通过提纯进行消除。</w:t>
      </w:r>
    </w:p>
    <w:p w14:paraId="55E35987">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6.试剂：明确检测所需化学试剂的种类、纯度等条件</w:t>
      </w:r>
    </w:p>
    <w:p w14:paraId="483830E9">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7.材料：规定了载气、燃烧气等种类及纯度。</w:t>
      </w:r>
    </w:p>
    <w:p w14:paraId="2F9AB18F">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8.仪器设备：列出了核心仪器如气相色谱仪、色谱柱等，确保设备满足检测需求。</w:t>
      </w:r>
    </w:p>
    <w:p w14:paraId="04845E16">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9.样品的采集、运输和保存：规范了采样方法、容器选择及保存条件，确保样本完整性。</w:t>
      </w:r>
    </w:p>
    <w:p w14:paraId="292DEE81">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10.分析步骤：涵盖分析条件、校准曲线的绘制流程，保证操作一致性。</w:t>
      </w:r>
    </w:p>
    <w:p w14:paraId="51FCCCE4">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11.结果计算与表示：定义浓度计算公式及结果的表示方法。</w:t>
      </w:r>
    </w:p>
    <w:p w14:paraId="4ABB941C">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12.精密度和准确度：通过重复性实验验证方法的稳定性与可靠性，设定误差允许范围。</w:t>
      </w:r>
    </w:p>
    <w:p w14:paraId="47AD8EF9">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13.质量保证和质量控制：制定质控规则（如平行样、空白样分析）及校准频次，减少操作误差和数据偏差。</w:t>
      </w:r>
    </w:p>
    <w:p w14:paraId="2A65A1D2">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14.说明：概述标准的检出限。</w:t>
      </w:r>
    </w:p>
    <w:p w14:paraId="03E2D3CB">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15.资料性附录：提供补充性技术信息，对二硫化碳的提纯方法进行了详细的说明。</w:t>
      </w:r>
    </w:p>
    <w:p w14:paraId="501B66E8">
      <w:pPr>
        <w:numPr>
          <w:ilvl w:val="0"/>
          <w:numId w:val="1"/>
        </w:numPr>
        <w:spacing w:line="360" w:lineRule="auto"/>
        <w:jc w:val="left"/>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先进性</w:t>
      </w:r>
    </w:p>
    <w:p w14:paraId="3FCBCA7E">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本标准在空气及废气中乙醇含量检测领域展现出显著的先进性，主要体现在方法的科学性、适用性等方面。</w:t>
      </w:r>
    </w:p>
    <w:p w14:paraId="7F18C1CE">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default" w:ascii="仿宋" w:hAnsi="仿宋" w:eastAsia="仿宋" w:cs="仿宋"/>
          <w:sz w:val="32"/>
          <w:szCs w:val="32"/>
          <w:lang w:val="en-US" w:eastAsia="zh-CN"/>
        </w:rPr>
        <w:t>方法科学合理</w:t>
      </w:r>
    </w:p>
    <w:p w14:paraId="486F45B3">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标准采用活性炭吸附/二硫化碳解吸 - 气相色谱法，利用活性炭采样管富集乙醇，经二硫化碳解吸后用带有氢火焰离子化检测器（FID）的气相色谱仪测定分析，这种方法具有较高的灵敏度和准确性。在干扰和消除环节，针对主要干扰源二硫化碳的杂质问题，提供了鉴定和提纯方法，确保检测结果不受干扰。在试剂和材料的选择上，对载气、燃烧气、助燃气的纯度和净化处理都有明确要求，保证了检测过程的稳定性和可靠性。同时，标准详细规定了仪器设备的参数，如色谱柱的规格等，为准确检测提供了科学依据。</w:t>
      </w:r>
    </w:p>
    <w:p w14:paraId="30CF14BA">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default" w:ascii="仿宋" w:hAnsi="仿宋" w:eastAsia="仿宋" w:cs="仿宋"/>
          <w:sz w:val="32"/>
          <w:szCs w:val="32"/>
          <w:lang w:val="en-US" w:eastAsia="zh-CN"/>
        </w:rPr>
        <w:t>适用范围广泛</w:t>
      </w:r>
    </w:p>
    <w:p w14:paraId="09DA6A1D">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该标准适用于环境空气和固定污染源废气中乙醇含量的测定，涵盖了不同类型的空气和废气样本。对于不同类型的样品，如环境空气、无组织排放样品和固定污染源废气样品，分别给出了详细的采样布点和采样方法，遵循相关的国家标准和技术规范，使标准具有很强的适用性和可操作性。无论是在环境监测还是工业废气检测等领域，都能为乙醇含量的检测提供有效的方法指导。</w:t>
      </w:r>
    </w:p>
    <w:p w14:paraId="7B5F7F0A">
      <w:pPr>
        <w:spacing w:line="360" w:lineRule="auto"/>
        <w:jc w:val="left"/>
        <w:rPr>
          <w:rFonts w:hint="eastAsia" w:ascii="黑体" w:hAnsi="黑体" w:eastAsia="黑体" w:cs="黑体"/>
          <w:b w:val="0"/>
          <w:bCs w:val="0"/>
          <w:kern w:val="2"/>
          <w:sz w:val="28"/>
          <w:szCs w:val="28"/>
          <w:lang w:val="en-US" w:eastAsia="zh-CN" w:bidi="ar-SA"/>
        </w:rPr>
      </w:pPr>
      <w:r>
        <w:rPr>
          <w:rFonts w:hint="eastAsia" w:ascii="黑体" w:hAnsi="黑体" w:eastAsia="黑体" w:cs="黑体"/>
          <w:b/>
          <w:bCs/>
          <w:kern w:val="2"/>
          <w:sz w:val="28"/>
          <w:szCs w:val="28"/>
          <w:lang w:val="en-US" w:eastAsia="zh-CN" w:bidi="ar-SA"/>
        </w:rPr>
        <w:t xml:space="preserve">四、主要试验（或验证）情况分析 </w:t>
      </w:r>
      <w:r>
        <w:rPr>
          <w:rFonts w:hint="eastAsia" w:ascii="黑体" w:hAnsi="黑体" w:eastAsia="黑体" w:cs="黑体"/>
          <w:b w:val="0"/>
          <w:bCs w:val="0"/>
          <w:kern w:val="2"/>
          <w:sz w:val="28"/>
          <w:szCs w:val="28"/>
          <w:lang w:val="en-US" w:eastAsia="zh-CN" w:bidi="ar-SA"/>
        </w:rPr>
        <w:t xml:space="preserve"> </w:t>
      </w:r>
    </w:p>
    <w:p w14:paraId="73FCE256">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本文件是基于标准提出单位按照 NIOSH 1400-1994（美国国家职业安全卫生研究所工业卫生检测方法手册）方法多年开展的环境检测经验，并得到了相关客户的高度认可。</w:t>
      </w:r>
    </w:p>
    <w:p w14:paraId="267E36D3">
      <w:pPr>
        <w:pStyle w:val="16"/>
        <w:numPr>
          <w:ilvl w:val="0"/>
          <w:numId w:val="0"/>
        </w:numPr>
        <w:spacing w:line="360" w:lineRule="auto"/>
        <w:ind w:leftChars="0"/>
        <w:jc w:val="left"/>
        <w:rPr>
          <w:rFonts w:ascii="宋体" w:hAnsi="宋体" w:eastAsia="宋体"/>
          <w:b/>
          <w:bCs/>
          <w:sz w:val="28"/>
          <w:szCs w:val="28"/>
        </w:rPr>
      </w:pPr>
      <w:r>
        <w:rPr>
          <w:rFonts w:hint="eastAsia" w:ascii="黑体" w:hAnsi="黑体" w:eastAsia="黑体" w:cs="黑体"/>
          <w:b/>
          <w:bCs/>
          <w:kern w:val="2"/>
          <w:sz w:val="28"/>
          <w:szCs w:val="28"/>
          <w:lang w:val="en-US" w:eastAsia="zh-CN" w:bidi="ar-SA"/>
        </w:rPr>
        <w:t xml:space="preserve">五、标准中涉及专利的情况 </w:t>
      </w:r>
      <w:r>
        <w:rPr>
          <w:rFonts w:ascii="宋体" w:hAnsi="宋体" w:eastAsia="宋体"/>
          <w:b/>
          <w:bCs/>
          <w:sz w:val="28"/>
          <w:szCs w:val="28"/>
        </w:rPr>
        <w:t xml:space="preserve"> </w:t>
      </w:r>
    </w:p>
    <w:p w14:paraId="52EF75FD">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59807A4C">
      <w:pPr>
        <w:pStyle w:val="16"/>
        <w:numPr>
          <w:ilvl w:val="0"/>
          <w:numId w:val="0"/>
        </w:numPr>
        <w:spacing w:line="360" w:lineRule="auto"/>
        <w:ind w:leftChars="0"/>
        <w:jc w:val="left"/>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 xml:space="preserve">六、预期达到的效益（经济、效益、生态等），对产业发展的作用的情况  </w:t>
      </w:r>
    </w:p>
    <w:p w14:paraId="5E51269D">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当前，我国环境空气和工业废气中乙醇检测主要依赖美国NIOSH 1400-1994方法，但其设计初衷为职业卫生场景，存在采样参数宽泛、未规定解吸液纯度控制等局限，导致低浓度环境空气检测灵敏度不足，且复杂工业废气（含颗粒物干扰）场景适应性差。本团体标准通过本土化改进，将环境空气与废气的采样流量统一为0.5 L/min，并限定采样体积（环境空气30 L、废气5 L），使数据可比性提升；同时新增二硫化碳提纯流程（附录A）和活性炭管吸附效率计算（B段≤A段25%），使环境空气检出限低至0.1 mg/m3，较NIOSH方法灵敏度提高。满足环保执法和企业自检的精准化需求。</w:t>
      </w:r>
    </w:p>
    <w:p w14:paraId="4ECF3B38">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市场应用前景方面，随着环保监管政策日趋严格及工业排放标准持续升级，挥发性有机物（VOCs）检测市场呈现显著增长态势。其中，针对空气及废气中乙醇含量的检测需求尤为突出，已成为该领域的重要细分方向。作为广泛应用于化工、制药、食品加工等行业的有机溶剂，乙醇在生产和储运过程中极易挥发逸散，其精准监测对污染防治</w:t>
      </w:r>
      <w:r>
        <w:rPr>
          <w:rFonts w:hint="eastAsia" w:ascii="宋体" w:hAnsi="宋体" w:eastAsia="宋体" w:cs="宋体"/>
          <w:color w:val="000000"/>
          <w:kern w:val="0"/>
          <w:sz w:val="28"/>
          <w:szCs w:val="28"/>
          <w:lang w:val="en-US" w:eastAsia="zh-CN" w:bidi="ar"/>
        </w:rPr>
        <w:t>和工艺优化具有双重价值。当前基于光学、传感技术的检测设备迭代加速，推动乙醇浓度监测在在线实时检测、便携式仪器等场景中的应用深化。同时，</w:t>
      </w:r>
      <w:r>
        <w:rPr>
          <w:rFonts w:hint="eastAsia" w:ascii="仿宋" w:hAnsi="仿宋" w:eastAsia="仿宋" w:cs="仿宋"/>
          <w:sz w:val="32"/>
          <w:szCs w:val="32"/>
          <w:lang w:val="en-US" w:eastAsia="zh-CN"/>
        </w:rPr>
        <w:t>新能源、半导体等新兴产业的崛起，进一步拓展了痕量乙醇检测的潜在市场空间。随着绿色制造体系建设和全流程排放管控持续推进，该细分领域的技术服务与设备供应将迎来更广阔发展机遇</w:t>
      </w:r>
    </w:p>
    <w:p w14:paraId="535A281B">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人体呼吸道、神经系统等造成不良影响，通过该标准的实施，降低空气中乙醇浓度，保障公众的身体健康，提高生活质量。</w:t>
      </w:r>
    </w:p>
    <w:p w14:paraId="30B3D871">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促进环境管理：为环境管理部门提供了科学、准确的监测手段，使其能够更有效地监管固定污染源和无组织排放源的乙醇排放情况。有助于制定更合理的环境政策和法规，加强对乙醇排放的管控，提高环境管理的科学性和有效性。</w:t>
      </w:r>
    </w:p>
    <w:p w14:paraId="2E4F93E6">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增强社会信任：统一的检测标准可以确保检测结果的准确性和可比性，增强社会各界对检测数据的信任。无论是企业、政府还是公众，都能够依据可靠的检测结果做出决策，促进社会的稳定和和谐发展。</w:t>
      </w:r>
    </w:p>
    <w:p w14:paraId="6FDCBF24">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（3）生态效益</w:t>
      </w:r>
    </w:p>
    <w:p w14:paraId="795BC65C">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保护生态环境：减少乙醇在空气和废气中的排放，有助于改善大气环境质量，保护生态系统的平衡。乙醇排放可能会对植物的生长和发育产生不利影响，通过控制乙醇排放，可以减轻对生态环境的压力，保护生物多样性。</w:t>
      </w:r>
    </w:p>
    <w:p w14:paraId="1016DD8E">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推动绿色发展：该标准的实施将引导企业采用更环保的生产工艺和技术，减少乙醇的使用和排放。这有助于推动产业向绿色、可持续方向发展，促进经济与环境的协调发展。</w:t>
      </w:r>
    </w:p>
    <w:p w14:paraId="535C899E">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2.对产业发展的作用</w:t>
      </w:r>
    </w:p>
    <w:p w14:paraId="7BBF1E0C">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（1）规范产业秩序</w:t>
      </w:r>
    </w:p>
    <w:p w14:paraId="359B2F68">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统一的检测标准可以规范空气和废气中乙醇含量检测市场，避免因检测方法不统一而导致的市场混乱。使检测机构和企业在公平、公正的环境下竞争，提高整个产业的规范化程度。</w:t>
      </w:r>
    </w:p>
    <w:p w14:paraId="0A0C5C6B">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明确了检测的技术要求和操作流程，有助于提高检测结果的准确性和可靠性，增强产业的公信力。</w:t>
      </w:r>
    </w:p>
    <w:p w14:paraId="1FB7005C">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（2）促进产业创新</w:t>
      </w:r>
    </w:p>
    <w:p w14:paraId="11B59E40">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为了满足标准的要求，企业和科研机构将加大在乙醇检测技术和仪器设备研发方面的投入。推动新技术、新方法的不断涌现，促进产业的技术创新和升级。</w:t>
      </w:r>
    </w:p>
    <w:p w14:paraId="3F3EDDE2">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标准的实施也将促使企业探索更环保、更高效的生产工艺，减少乙醇排放，从而推动整个产业的绿色创新发展。</w:t>
      </w:r>
    </w:p>
    <w:p w14:paraId="0340502D">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（3）加强产业合作</w:t>
      </w:r>
    </w:p>
    <w:p w14:paraId="792480E4">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标准的制定需要相关企业、科研机构、检测机构等多方参与，这将促进产业内各主体之间的交流与合作。通过合作，可以整合资源，共享技术和经验，提高产业的整体竞争力。</w:t>
      </w:r>
    </w:p>
    <w:p w14:paraId="6E381953">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有利于加强国内外产业之间的交流与合作，使我国的乙醇检测技术和产业更好地与国际接轨，提升我国在该领域的国际影响力。</w:t>
      </w:r>
    </w:p>
    <w:p w14:paraId="2961DCEC">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综上，该标准通过技术规范化，将实现环境效益与经济效益的协同提升，为生态文明建设和环保产业发展提供有力保障。</w:t>
      </w:r>
    </w:p>
    <w:p w14:paraId="46C050D9">
      <w:pPr>
        <w:pStyle w:val="16"/>
        <w:numPr>
          <w:ilvl w:val="0"/>
          <w:numId w:val="0"/>
        </w:numPr>
        <w:spacing w:line="360" w:lineRule="auto"/>
        <w:ind w:leftChars="0"/>
        <w:jc w:val="left"/>
        <w:rPr>
          <w:rFonts w:hint="eastAsia" w:ascii="黑体" w:hAnsi="黑体" w:eastAsia="黑体" w:cs="黑体"/>
          <w:b/>
          <w:bCs/>
          <w:kern w:val="2"/>
          <w:sz w:val="28"/>
          <w:szCs w:val="28"/>
          <w:lang w:val="en-US" w:eastAsia="zh-CN" w:bidi="ar-SA"/>
        </w:rPr>
      </w:pPr>
      <w:r>
        <w:rPr>
          <w:rFonts w:hint="eastAsia" w:ascii="宋体" w:hAnsi="宋体" w:eastAsia="宋体"/>
          <w:b/>
          <w:bCs/>
          <w:sz w:val="28"/>
          <w:szCs w:val="28"/>
          <w:lang w:val="en-US" w:eastAsia="zh-CN"/>
        </w:rPr>
        <w:t>七</w:t>
      </w:r>
      <w:r>
        <w:rPr>
          <w:rFonts w:hint="eastAsia" w:ascii="黑体" w:hAnsi="黑体" w:eastAsia="黑体" w:cs="黑体"/>
          <w:b/>
          <w:bCs/>
          <w:kern w:val="2"/>
          <w:sz w:val="28"/>
          <w:szCs w:val="28"/>
          <w:lang w:val="en-US" w:eastAsia="zh-CN" w:bidi="ar-SA"/>
        </w:rPr>
        <w:t>、在标准体系中的位置，与现行相关法律、法规、规章及相关标准，特别是强制性标准的协调性</w:t>
      </w:r>
    </w:p>
    <w:p w14:paraId="1E808ECD">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符合现行相关法律、法规、规章及相关标准，与强制性标准协调一致。</w:t>
      </w:r>
    </w:p>
    <w:p w14:paraId="728558CD">
      <w:pPr>
        <w:pStyle w:val="16"/>
        <w:numPr>
          <w:ilvl w:val="0"/>
          <w:numId w:val="0"/>
        </w:numPr>
        <w:spacing w:line="360" w:lineRule="auto"/>
        <w:ind w:leftChars="0"/>
        <w:jc w:val="left"/>
        <w:rPr>
          <w:rFonts w:ascii="宋体" w:hAnsi="宋体" w:eastAsia="宋体"/>
          <w:b/>
          <w:bCs/>
          <w:sz w:val="28"/>
          <w:szCs w:val="28"/>
        </w:rPr>
      </w:pPr>
      <w:r>
        <w:rPr>
          <w:rFonts w:hint="eastAsia" w:ascii="宋体" w:hAnsi="宋体" w:eastAsia="宋体"/>
          <w:b/>
          <w:bCs/>
          <w:sz w:val="28"/>
          <w:szCs w:val="28"/>
          <w:lang w:val="en-US" w:eastAsia="zh-CN"/>
        </w:rPr>
        <w:t>八、</w:t>
      </w:r>
      <w:r>
        <w:rPr>
          <w:rFonts w:hint="eastAsia" w:ascii="宋体" w:hAnsi="宋体" w:eastAsia="宋体"/>
          <w:b/>
          <w:bCs/>
          <w:sz w:val="28"/>
          <w:szCs w:val="28"/>
        </w:rPr>
        <w:t>重大分歧意见的处理经过和依据</w:t>
      </w:r>
    </w:p>
    <w:p w14:paraId="57C2B38B">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6D6D845C">
      <w:pPr>
        <w:pStyle w:val="16"/>
        <w:numPr>
          <w:ilvl w:val="0"/>
          <w:numId w:val="0"/>
        </w:numPr>
        <w:spacing w:line="360" w:lineRule="auto"/>
        <w:ind w:leftChars="0"/>
        <w:jc w:val="left"/>
        <w:rPr>
          <w:rFonts w:ascii="宋体" w:hAnsi="宋体" w:eastAsia="宋体"/>
          <w:b/>
          <w:bCs/>
          <w:sz w:val="28"/>
          <w:szCs w:val="28"/>
        </w:rPr>
      </w:pPr>
      <w:r>
        <w:rPr>
          <w:rFonts w:hint="eastAsia" w:ascii="宋体" w:hAnsi="宋体" w:eastAsia="宋体"/>
          <w:b/>
          <w:bCs/>
          <w:sz w:val="28"/>
          <w:szCs w:val="28"/>
          <w:lang w:val="en-US" w:eastAsia="zh-CN"/>
        </w:rPr>
        <w:t>九、</w:t>
      </w:r>
      <w:r>
        <w:rPr>
          <w:rFonts w:hint="eastAsia" w:ascii="宋体" w:hAnsi="宋体" w:eastAsia="宋体"/>
          <w:b/>
          <w:bCs/>
          <w:sz w:val="28"/>
          <w:szCs w:val="28"/>
        </w:rPr>
        <w:t>标准性质的建议说明</w:t>
      </w:r>
    </w:p>
    <w:p w14:paraId="5BD9E931">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本标准为团体标准，供社会各界自愿使用。</w:t>
      </w:r>
    </w:p>
    <w:p w14:paraId="54F0764B">
      <w:pPr>
        <w:pStyle w:val="16"/>
        <w:numPr>
          <w:ilvl w:val="0"/>
          <w:numId w:val="0"/>
        </w:numPr>
        <w:spacing w:line="360" w:lineRule="auto"/>
        <w:ind w:leftChars="0"/>
        <w:jc w:val="left"/>
        <w:rPr>
          <w:rFonts w:ascii="宋体" w:hAnsi="宋体" w:eastAsia="宋体"/>
          <w:b/>
          <w:bCs/>
          <w:sz w:val="28"/>
          <w:szCs w:val="28"/>
        </w:rPr>
      </w:pPr>
      <w:r>
        <w:rPr>
          <w:rFonts w:hint="eastAsia" w:ascii="宋体" w:hAnsi="宋体" w:eastAsia="宋体"/>
          <w:b/>
          <w:bCs/>
          <w:sz w:val="28"/>
          <w:szCs w:val="28"/>
          <w:lang w:val="en-US" w:eastAsia="zh-CN"/>
        </w:rPr>
        <w:t>十、</w:t>
      </w:r>
      <w:r>
        <w:rPr>
          <w:rFonts w:hint="eastAsia" w:ascii="宋体" w:hAnsi="宋体" w:eastAsia="宋体"/>
          <w:b/>
          <w:bCs/>
          <w:sz w:val="28"/>
          <w:szCs w:val="28"/>
        </w:rPr>
        <w:t>贯彻标准的要求和措施建议</w:t>
      </w:r>
    </w:p>
    <w:p w14:paraId="4E7E01FF">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6CF6DCBF">
      <w:pPr>
        <w:pStyle w:val="16"/>
        <w:numPr>
          <w:ilvl w:val="0"/>
          <w:numId w:val="0"/>
        </w:numPr>
        <w:spacing w:line="360" w:lineRule="auto"/>
        <w:ind w:leftChars="0"/>
        <w:jc w:val="left"/>
        <w:rPr>
          <w:rFonts w:ascii="宋体" w:hAnsi="宋体" w:eastAsia="宋体"/>
          <w:b/>
          <w:bCs/>
          <w:sz w:val="28"/>
          <w:szCs w:val="28"/>
        </w:rPr>
      </w:pPr>
      <w:r>
        <w:rPr>
          <w:rFonts w:hint="eastAsia" w:ascii="宋体" w:hAnsi="宋体" w:eastAsia="宋体"/>
          <w:b/>
          <w:bCs/>
          <w:sz w:val="28"/>
          <w:szCs w:val="28"/>
          <w:lang w:val="en-US" w:eastAsia="zh-CN"/>
        </w:rPr>
        <w:t>十一、</w:t>
      </w:r>
      <w:r>
        <w:rPr>
          <w:rFonts w:hint="eastAsia" w:ascii="宋体" w:hAnsi="宋体" w:eastAsia="宋体"/>
          <w:b/>
          <w:bCs/>
          <w:sz w:val="28"/>
          <w:szCs w:val="28"/>
        </w:rPr>
        <w:t>废止现行相关标准的建议</w:t>
      </w:r>
    </w:p>
    <w:p w14:paraId="164C13E0">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3712D3F6">
      <w:pPr>
        <w:pStyle w:val="16"/>
        <w:numPr>
          <w:ilvl w:val="0"/>
          <w:numId w:val="0"/>
        </w:numPr>
        <w:spacing w:line="360" w:lineRule="auto"/>
        <w:ind w:leftChars="0"/>
        <w:jc w:val="left"/>
        <w:rPr>
          <w:rFonts w:ascii="宋体" w:hAnsi="宋体" w:eastAsia="宋体"/>
          <w:b/>
          <w:bCs/>
          <w:sz w:val="28"/>
          <w:szCs w:val="28"/>
        </w:rPr>
      </w:pPr>
      <w:r>
        <w:rPr>
          <w:rFonts w:hint="eastAsia" w:ascii="宋体" w:hAnsi="宋体" w:eastAsia="宋体"/>
          <w:b/>
          <w:bCs/>
          <w:sz w:val="28"/>
          <w:szCs w:val="28"/>
          <w:lang w:val="en-US" w:eastAsia="zh-CN"/>
        </w:rPr>
        <w:t>十二、</w:t>
      </w:r>
      <w:r>
        <w:rPr>
          <w:rFonts w:hint="eastAsia" w:ascii="宋体" w:hAnsi="宋体" w:eastAsia="宋体"/>
          <w:b/>
          <w:bCs/>
          <w:sz w:val="28"/>
          <w:szCs w:val="28"/>
        </w:rPr>
        <w:t>其他应予说明的事项</w:t>
      </w:r>
    </w:p>
    <w:p w14:paraId="10A37236">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宋体" w:hAnsi="宋体" w:eastAsia="宋体"/>
          <w:sz w:val="28"/>
          <w:szCs w:val="28"/>
        </w:rPr>
      </w:pPr>
      <w:r>
        <w:rPr>
          <w:rFonts w:hint="eastAsia" w:ascii="仿宋" w:hAnsi="仿宋" w:eastAsia="仿宋" w:cs="仿宋"/>
          <w:sz w:val="32"/>
          <w:szCs w:val="32"/>
          <w:lang w:val="en-US" w:eastAsia="zh-CN"/>
        </w:rPr>
        <w:t>无。</w:t>
      </w:r>
    </w:p>
    <w:p w14:paraId="73141353">
      <w:pPr>
        <w:topLinePunct/>
        <w:spacing w:line="360" w:lineRule="auto"/>
        <w:ind w:firstLine="560" w:firstLineChars="200"/>
        <w:jc w:val="left"/>
        <w:rPr>
          <w:rFonts w:hint="eastAsia" w:ascii="宋体" w:hAnsi="宋体" w:eastAsia="宋体"/>
          <w:sz w:val="28"/>
          <w:szCs w:val="28"/>
        </w:rPr>
      </w:pPr>
    </w:p>
    <w:p w14:paraId="237DB961">
      <w:pPr>
        <w:topLinePunct/>
        <w:spacing w:line="360" w:lineRule="auto"/>
        <w:ind w:firstLine="640" w:firstLineChars="200"/>
        <w:jc w:val="right"/>
        <w:rPr>
          <w:rFonts w:hint="eastAsia" w:ascii="宋体" w:hAnsi="宋体" w:eastAsia="宋体" w:cs="宋体"/>
          <w:sz w:val="32"/>
          <w:szCs w:val="32"/>
        </w:rPr>
      </w:pPr>
      <w:bookmarkStart w:id="0" w:name="_GoBack"/>
      <w:bookmarkEnd w:id="0"/>
      <w:r>
        <w:rPr>
          <w:rFonts w:hint="eastAsia" w:ascii="宋体" w:hAnsi="宋体" w:eastAsia="宋体"/>
          <w:sz w:val="32"/>
          <w:szCs w:val="32"/>
          <w:lang w:eastAsia="zh-CN"/>
        </w:rPr>
        <w:t>《空气及废气中乙醇含量的检测方法》</w:t>
      </w:r>
      <w:r>
        <w:rPr>
          <w:rFonts w:hint="eastAsia" w:ascii="宋体" w:hAnsi="宋体" w:eastAsia="宋体" w:cs="宋体"/>
          <w:sz w:val="32"/>
          <w:szCs w:val="32"/>
        </w:rPr>
        <w:t xml:space="preserve">起草组 </w:t>
      </w:r>
    </w:p>
    <w:p w14:paraId="59D0247E">
      <w:pPr>
        <w:topLinePunct/>
        <w:spacing w:line="360" w:lineRule="auto"/>
        <w:ind w:firstLine="560" w:firstLineChars="200"/>
        <w:jc w:val="center"/>
        <w:rPr>
          <w:rFonts w:hint="default" w:ascii="宋体" w:hAnsi="宋体" w:eastAsia="宋体"/>
          <w:sz w:val="28"/>
          <w:szCs w:val="28"/>
          <w:lang w:val="en-US" w:eastAsia="zh-CN"/>
        </w:rPr>
      </w:pPr>
      <w:r>
        <w:rPr>
          <w:rFonts w:hint="eastAsia" w:ascii="宋体" w:hAnsi="宋体" w:eastAsia="宋体"/>
          <w:sz w:val="28"/>
          <w:szCs w:val="28"/>
          <w:lang w:val="en-US" w:eastAsia="zh-CN"/>
        </w:rPr>
        <w:t xml:space="preserve">                        </w:t>
      </w:r>
      <w:r>
        <w:rPr>
          <w:rFonts w:hint="eastAsia" w:ascii="宋体" w:hAnsi="宋体" w:eastAsia="宋体"/>
          <w:color w:val="auto"/>
          <w:sz w:val="28"/>
          <w:szCs w:val="28"/>
          <w:lang w:val="en-US" w:eastAsia="zh-CN"/>
        </w:rPr>
        <w:t xml:space="preserve"> 2025</w:t>
      </w:r>
      <w:r>
        <w:rPr>
          <w:rFonts w:ascii="宋体" w:hAnsi="宋体" w:eastAsia="宋体"/>
          <w:color w:val="auto"/>
          <w:sz w:val="28"/>
          <w:szCs w:val="28"/>
        </w:rPr>
        <w:t>年</w:t>
      </w:r>
      <w:r>
        <w:rPr>
          <w:rFonts w:hint="eastAsia" w:ascii="宋体" w:hAnsi="宋体" w:eastAsia="宋体"/>
          <w:color w:val="auto"/>
          <w:sz w:val="28"/>
          <w:szCs w:val="28"/>
          <w:lang w:val="en-US" w:eastAsia="zh-CN"/>
        </w:rPr>
        <w:t>05</w:t>
      </w:r>
      <w:r>
        <w:rPr>
          <w:rFonts w:ascii="宋体" w:hAnsi="宋体" w:eastAsia="宋体"/>
          <w:color w:val="auto"/>
          <w:sz w:val="28"/>
          <w:szCs w:val="28"/>
        </w:rPr>
        <w:t>月</w:t>
      </w:r>
      <w:r>
        <w:rPr>
          <w:rFonts w:hint="eastAsia" w:ascii="宋体" w:hAnsi="宋体" w:eastAsia="宋体"/>
          <w:color w:val="auto"/>
          <w:sz w:val="28"/>
          <w:szCs w:val="28"/>
          <w:lang w:val="en-US" w:eastAsia="zh-CN"/>
        </w:rPr>
        <w:t>16日</w:t>
      </w:r>
    </w:p>
    <w:sectPr>
      <w:footerReference r:id="rId3" w:type="default"/>
      <w:pgSz w:w="11906" w:h="16841"/>
      <w:pgMar w:top="1440" w:right="1800" w:bottom="1440" w:left="1800" w:header="720" w:footer="720" w:gutter="0"/>
      <w:pgNumType w:fmt="decimalFullWidth"/>
      <w:cols w:space="425"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迷你简小标宋">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58F4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35D175">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635D175">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D60E12"/>
    <w:multiLevelType w:val="singleLevel"/>
    <w:tmpl w:val="D3D60E1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10"/>
  <w:drawingGridVerticalSpacing w:val="29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zMmQ1ZjgzYjU3YjZmZmUwM2Q5ZjlmZTVlMTdkMDkifQ=="/>
  </w:docVars>
  <w:rsids>
    <w:rsidRoot w:val="00080FCE"/>
    <w:rsid w:val="000015BF"/>
    <w:rsid w:val="00013CD7"/>
    <w:rsid w:val="000168FD"/>
    <w:rsid w:val="00021E0D"/>
    <w:rsid w:val="00031415"/>
    <w:rsid w:val="00031E6F"/>
    <w:rsid w:val="00045B65"/>
    <w:rsid w:val="00051DFD"/>
    <w:rsid w:val="000711D3"/>
    <w:rsid w:val="00076E6A"/>
    <w:rsid w:val="0007729C"/>
    <w:rsid w:val="00080FCE"/>
    <w:rsid w:val="00082283"/>
    <w:rsid w:val="00086D78"/>
    <w:rsid w:val="000A5231"/>
    <w:rsid w:val="000D7E80"/>
    <w:rsid w:val="000F09E9"/>
    <w:rsid w:val="00100F6C"/>
    <w:rsid w:val="00100FA1"/>
    <w:rsid w:val="0010711D"/>
    <w:rsid w:val="001171FC"/>
    <w:rsid w:val="00122366"/>
    <w:rsid w:val="00122E25"/>
    <w:rsid w:val="00124E74"/>
    <w:rsid w:val="00126246"/>
    <w:rsid w:val="00135211"/>
    <w:rsid w:val="001552ED"/>
    <w:rsid w:val="00172D1B"/>
    <w:rsid w:val="00184316"/>
    <w:rsid w:val="00186EE4"/>
    <w:rsid w:val="001A3971"/>
    <w:rsid w:val="001A7B8A"/>
    <w:rsid w:val="001B538A"/>
    <w:rsid w:val="00200A33"/>
    <w:rsid w:val="002212B2"/>
    <w:rsid w:val="00221500"/>
    <w:rsid w:val="00223390"/>
    <w:rsid w:val="00227D9E"/>
    <w:rsid w:val="00233775"/>
    <w:rsid w:val="00233F57"/>
    <w:rsid w:val="00253FA1"/>
    <w:rsid w:val="00254956"/>
    <w:rsid w:val="00273444"/>
    <w:rsid w:val="00295A76"/>
    <w:rsid w:val="002A116B"/>
    <w:rsid w:val="002A16BD"/>
    <w:rsid w:val="002A5B20"/>
    <w:rsid w:val="002C7C84"/>
    <w:rsid w:val="002E34E6"/>
    <w:rsid w:val="002F3F4D"/>
    <w:rsid w:val="00301337"/>
    <w:rsid w:val="003073A8"/>
    <w:rsid w:val="00315C7D"/>
    <w:rsid w:val="0033177C"/>
    <w:rsid w:val="00333046"/>
    <w:rsid w:val="003460C4"/>
    <w:rsid w:val="00374298"/>
    <w:rsid w:val="003A0BF7"/>
    <w:rsid w:val="003B4DB3"/>
    <w:rsid w:val="003B5D46"/>
    <w:rsid w:val="003C4C2B"/>
    <w:rsid w:val="003D64DD"/>
    <w:rsid w:val="003E3216"/>
    <w:rsid w:val="003F6507"/>
    <w:rsid w:val="004265AC"/>
    <w:rsid w:val="0043164F"/>
    <w:rsid w:val="004357F5"/>
    <w:rsid w:val="00462A1E"/>
    <w:rsid w:val="00467311"/>
    <w:rsid w:val="00474F1E"/>
    <w:rsid w:val="00475382"/>
    <w:rsid w:val="00483E9D"/>
    <w:rsid w:val="00487897"/>
    <w:rsid w:val="00495229"/>
    <w:rsid w:val="004971D8"/>
    <w:rsid w:val="004A0525"/>
    <w:rsid w:val="004A5E54"/>
    <w:rsid w:val="004A6E9D"/>
    <w:rsid w:val="004B04CC"/>
    <w:rsid w:val="004B116E"/>
    <w:rsid w:val="004D46D1"/>
    <w:rsid w:val="004D5495"/>
    <w:rsid w:val="004E688D"/>
    <w:rsid w:val="004E7C01"/>
    <w:rsid w:val="004F32FF"/>
    <w:rsid w:val="004F7D64"/>
    <w:rsid w:val="005013ED"/>
    <w:rsid w:val="00516848"/>
    <w:rsid w:val="00516EB0"/>
    <w:rsid w:val="0052542A"/>
    <w:rsid w:val="00531F34"/>
    <w:rsid w:val="00543CA9"/>
    <w:rsid w:val="00555D75"/>
    <w:rsid w:val="00562CE6"/>
    <w:rsid w:val="00566FEC"/>
    <w:rsid w:val="005835CE"/>
    <w:rsid w:val="00587745"/>
    <w:rsid w:val="005A0D11"/>
    <w:rsid w:val="005C7B43"/>
    <w:rsid w:val="005E614E"/>
    <w:rsid w:val="005F01E0"/>
    <w:rsid w:val="006042F7"/>
    <w:rsid w:val="00612447"/>
    <w:rsid w:val="00626B3F"/>
    <w:rsid w:val="0063172D"/>
    <w:rsid w:val="006379F1"/>
    <w:rsid w:val="00646DCA"/>
    <w:rsid w:val="00647F5C"/>
    <w:rsid w:val="00656481"/>
    <w:rsid w:val="006770FA"/>
    <w:rsid w:val="006771DA"/>
    <w:rsid w:val="0068107B"/>
    <w:rsid w:val="00683BC8"/>
    <w:rsid w:val="00693278"/>
    <w:rsid w:val="006A2989"/>
    <w:rsid w:val="006A7619"/>
    <w:rsid w:val="006C37E7"/>
    <w:rsid w:val="006F7BDB"/>
    <w:rsid w:val="007135C6"/>
    <w:rsid w:val="007236F7"/>
    <w:rsid w:val="007340DD"/>
    <w:rsid w:val="0074231B"/>
    <w:rsid w:val="007461F2"/>
    <w:rsid w:val="00780878"/>
    <w:rsid w:val="00785FEC"/>
    <w:rsid w:val="00790E0C"/>
    <w:rsid w:val="00793EA3"/>
    <w:rsid w:val="007A285E"/>
    <w:rsid w:val="007A7569"/>
    <w:rsid w:val="007B647A"/>
    <w:rsid w:val="007C11E4"/>
    <w:rsid w:val="007D143A"/>
    <w:rsid w:val="007D4ACF"/>
    <w:rsid w:val="007E2BCD"/>
    <w:rsid w:val="007E71D6"/>
    <w:rsid w:val="007E765D"/>
    <w:rsid w:val="007F784F"/>
    <w:rsid w:val="008004CF"/>
    <w:rsid w:val="00802198"/>
    <w:rsid w:val="00820BE7"/>
    <w:rsid w:val="00831C13"/>
    <w:rsid w:val="008374F8"/>
    <w:rsid w:val="00844D83"/>
    <w:rsid w:val="0084701D"/>
    <w:rsid w:val="00847F35"/>
    <w:rsid w:val="00855EF3"/>
    <w:rsid w:val="008639DD"/>
    <w:rsid w:val="008641D6"/>
    <w:rsid w:val="00873DB6"/>
    <w:rsid w:val="00885B2B"/>
    <w:rsid w:val="0089167C"/>
    <w:rsid w:val="00891B47"/>
    <w:rsid w:val="00895E54"/>
    <w:rsid w:val="008B6490"/>
    <w:rsid w:val="008F5B8C"/>
    <w:rsid w:val="00901136"/>
    <w:rsid w:val="00921AEC"/>
    <w:rsid w:val="00925E06"/>
    <w:rsid w:val="009349E7"/>
    <w:rsid w:val="009468CF"/>
    <w:rsid w:val="00954D9A"/>
    <w:rsid w:val="009603D3"/>
    <w:rsid w:val="00960757"/>
    <w:rsid w:val="00965A3C"/>
    <w:rsid w:val="009811AE"/>
    <w:rsid w:val="009A44F7"/>
    <w:rsid w:val="009D3675"/>
    <w:rsid w:val="009D498C"/>
    <w:rsid w:val="009D5F48"/>
    <w:rsid w:val="009D796E"/>
    <w:rsid w:val="009E24B6"/>
    <w:rsid w:val="009F5531"/>
    <w:rsid w:val="009F6DC4"/>
    <w:rsid w:val="00A32DBC"/>
    <w:rsid w:val="00A3749C"/>
    <w:rsid w:val="00A3751A"/>
    <w:rsid w:val="00A73027"/>
    <w:rsid w:val="00A76277"/>
    <w:rsid w:val="00A869F3"/>
    <w:rsid w:val="00A94982"/>
    <w:rsid w:val="00A9746B"/>
    <w:rsid w:val="00AA035B"/>
    <w:rsid w:val="00AA265F"/>
    <w:rsid w:val="00AD443F"/>
    <w:rsid w:val="00AD66A9"/>
    <w:rsid w:val="00AF779B"/>
    <w:rsid w:val="00B043A1"/>
    <w:rsid w:val="00B25FAD"/>
    <w:rsid w:val="00B36263"/>
    <w:rsid w:val="00B379B8"/>
    <w:rsid w:val="00B5142C"/>
    <w:rsid w:val="00B5633A"/>
    <w:rsid w:val="00B77F39"/>
    <w:rsid w:val="00B82572"/>
    <w:rsid w:val="00B83264"/>
    <w:rsid w:val="00BE03C2"/>
    <w:rsid w:val="00BE28F6"/>
    <w:rsid w:val="00BE3B0F"/>
    <w:rsid w:val="00BF54BF"/>
    <w:rsid w:val="00C134AC"/>
    <w:rsid w:val="00C21C0E"/>
    <w:rsid w:val="00C24A38"/>
    <w:rsid w:val="00C24C50"/>
    <w:rsid w:val="00C27704"/>
    <w:rsid w:val="00C312CC"/>
    <w:rsid w:val="00C3266C"/>
    <w:rsid w:val="00C336CE"/>
    <w:rsid w:val="00C352B8"/>
    <w:rsid w:val="00C408DD"/>
    <w:rsid w:val="00C43738"/>
    <w:rsid w:val="00C44BF8"/>
    <w:rsid w:val="00C53848"/>
    <w:rsid w:val="00C71078"/>
    <w:rsid w:val="00C72DAC"/>
    <w:rsid w:val="00C75D76"/>
    <w:rsid w:val="00C922F3"/>
    <w:rsid w:val="00C97BC9"/>
    <w:rsid w:val="00CA220B"/>
    <w:rsid w:val="00CA3F74"/>
    <w:rsid w:val="00CE3183"/>
    <w:rsid w:val="00CF7082"/>
    <w:rsid w:val="00D06A12"/>
    <w:rsid w:val="00D13C5D"/>
    <w:rsid w:val="00D24B3F"/>
    <w:rsid w:val="00D2603E"/>
    <w:rsid w:val="00D36E9E"/>
    <w:rsid w:val="00D47D49"/>
    <w:rsid w:val="00D56B4C"/>
    <w:rsid w:val="00D64C78"/>
    <w:rsid w:val="00D66359"/>
    <w:rsid w:val="00D83C32"/>
    <w:rsid w:val="00DA74DA"/>
    <w:rsid w:val="00DB002D"/>
    <w:rsid w:val="00DB6217"/>
    <w:rsid w:val="00DC22FD"/>
    <w:rsid w:val="00DC349A"/>
    <w:rsid w:val="00DC4A3F"/>
    <w:rsid w:val="00DC5CD1"/>
    <w:rsid w:val="00DD2B09"/>
    <w:rsid w:val="00DE0621"/>
    <w:rsid w:val="00DE077A"/>
    <w:rsid w:val="00DE4309"/>
    <w:rsid w:val="00DF638A"/>
    <w:rsid w:val="00DF7390"/>
    <w:rsid w:val="00E00D3E"/>
    <w:rsid w:val="00E01BCF"/>
    <w:rsid w:val="00E026CE"/>
    <w:rsid w:val="00E12A88"/>
    <w:rsid w:val="00E4634B"/>
    <w:rsid w:val="00E50746"/>
    <w:rsid w:val="00E650FA"/>
    <w:rsid w:val="00E867C3"/>
    <w:rsid w:val="00EA1735"/>
    <w:rsid w:val="00ED1351"/>
    <w:rsid w:val="00EE0BE2"/>
    <w:rsid w:val="00EF6080"/>
    <w:rsid w:val="00F14C92"/>
    <w:rsid w:val="00F22DEA"/>
    <w:rsid w:val="00F2395F"/>
    <w:rsid w:val="00F26876"/>
    <w:rsid w:val="00F30933"/>
    <w:rsid w:val="00F50DF9"/>
    <w:rsid w:val="00F71D7B"/>
    <w:rsid w:val="00F7230A"/>
    <w:rsid w:val="00F724A6"/>
    <w:rsid w:val="00F80431"/>
    <w:rsid w:val="00F80F20"/>
    <w:rsid w:val="00F829FC"/>
    <w:rsid w:val="00F84072"/>
    <w:rsid w:val="00F92024"/>
    <w:rsid w:val="00FA1182"/>
    <w:rsid w:val="00FB0517"/>
    <w:rsid w:val="00FC34D9"/>
    <w:rsid w:val="00FC6586"/>
    <w:rsid w:val="00FE27EF"/>
    <w:rsid w:val="00FF28A7"/>
    <w:rsid w:val="021D04ED"/>
    <w:rsid w:val="02C50974"/>
    <w:rsid w:val="032C73A3"/>
    <w:rsid w:val="03433F84"/>
    <w:rsid w:val="03650DC5"/>
    <w:rsid w:val="03943256"/>
    <w:rsid w:val="03D746CC"/>
    <w:rsid w:val="04B30C95"/>
    <w:rsid w:val="053A3164"/>
    <w:rsid w:val="053B68FF"/>
    <w:rsid w:val="05CD4AFD"/>
    <w:rsid w:val="05CE7B82"/>
    <w:rsid w:val="069A1EC9"/>
    <w:rsid w:val="06EE06AA"/>
    <w:rsid w:val="07A3050C"/>
    <w:rsid w:val="07EB3A94"/>
    <w:rsid w:val="081E0B1B"/>
    <w:rsid w:val="08FA0EDA"/>
    <w:rsid w:val="09525B61"/>
    <w:rsid w:val="09AA6B0A"/>
    <w:rsid w:val="0AB61CE7"/>
    <w:rsid w:val="0AD70FE7"/>
    <w:rsid w:val="0CC25F19"/>
    <w:rsid w:val="0D135892"/>
    <w:rsid w:val="0D2A1D10"/>
    <w:rsid w:val="104B26C9"/>
    <w:rsid w:val="11D706B9"/>
    <w:rsid w:val="12056664"/>
    <w:rsid w:val="12F17558"/>
    <w:rsid w:val="13FD1F2D"/>
    <w:rsid w:val="148443FC"/>
    <w:rsid w:val="14DB226E"/>
    <w:rsid w:val="16461969"/>
    <w:rsid w:val="16775FC6"/>
    <w:rsid w:val="16CB1E6E"/>
    <w:rsid w:val="16ED1DE0"/>
    <w:rsid w:val="17013AE2"/>
    <w:rsid w:val="17171557"/>
    <w:rsid w:val="17E20249"/>
    <w:rsid w:val="191B0AB0"/>
    <w:rsid w:val="195E6537"/>
    <w:rsid w:val="196547FC"/>
    <w:rsid w:val="199C5D44"/>
    <w:rsid w:val="19DB3BBC"/>
    <w:rsid w:val="1A42384F"/>
    <w:rsid w:val="1A597FD2"/>
    <w:rsid w:val="1A862C7C"/>
    <w:rsid w:val="1BA710FC"/>
    <w:rsid w:val="1C3F4596"/>
    <w:rsid w:val="1C47643B"/>
    <w:rsid w:val="1C7F5BD5"/>
    <w:rsid w:val="1D6662C8"/>
    <w:rsid w:val="1DE102EA"/>
    <w:rsid w:val="1DF148B0"/>
    <w:rsid w:val="2080016D"/>
    <w:rsid w:val="20B87907"/>
    <w:rsid w:val="213C22E6"/>
    <w:rsid w:val="22EA5DE8"/>
    <w:rsid w:val="2336185B"/>
    <w:rsid w:val="23670B2F"/>
    <w:rsid w:val="245931AF"/>
    <w:rsid w:val="253F4153"/>
    <w:rsid w:val="25D100DC"/>
    <w:rsid w:val="26AB5818"/>
    <w:rsid w:val="26D1527F"/>
    <w:rsid w:val="276D4B62"/>
    <w:rsid w:val="283F26BC"/>
    <w:rsid w:val="28B02EC8"/>
    <w:rsid w:val="2A8D5961"/>
    <w:rsid w:val="2AE65071"/>
    <w:rsid w:val="2B2838DB"/>
    <w:rsid w:val="2B373B1E"/>
    <w:rsid w:val="2B847139"/>
    <w:rsid w:val="2BEF6108"/>
    <w:rsid w:val="2C161986"/>
    <w:rsid w:val="2C3167C0"/>
    <w:rsid w:val="2CD21D51"/>
    <w:rsid w:val="2D9971F4"/>
    <w:rsid w:val="2D9B2143"/>
    <w:rsid w:val="2DB27104"/>
    <w:rsid w:val="2DE0049D"/>
    <w:rsid w:val="2E1971B2"/>
    <w:rsid w:val="2E2760CC"/>
    <w:rsid w:val="2F221557"/>
    <w:rsid w:val="2F7964B4"/>
    <w:rsid w:val="2F90618B"/>
    <w:rsid w:val="2FC5794B"/>
    <w:rsid w:val="30C6397A"/>
    <w:rsid w:val="322748ED"/>
    <w:rsid w:val="333170A5"/>
    <w:rsid w:val="334B460B"/>
    <w:rsid w:val="3350577D"/>
    <w:rsid w:val="34DF27AB"/>
    <w:rsid w:val="34F40745"/>
    <w:rsid w:val="35896873"/>
    <w:rsid w:val="3622410F"/>
    <w:rsid w:val="364A2958"/>
    <w:rsid w:val="366D609B"/>
    <w:rsid w:val="37533A8E"/>
    <w:rsid w:val="37C8447C"/>
    <w:rsid w:val="388B3040"/>
    <w:rsid w:val="3A773F37"/>
    <w:rsid w:val="3B973BA2"/>
    <w:rsid w:val="3B9D79CE"/>
    <w:rsid w:val="3C600D79"/>
    <w:rsid w:val="3C716FC8"/>
    <w:rsid w:val="3D935BD9"/>
    <w:rsid w:val="3DA437FD"/>
    <w:rsid w:val="3E375EB7"/>
    <w:rsid w:val="40787E7C"/>
    <w:rsid w:val="412F731A"/>
    <w:rsid w:val="41494A31"/>
    <w:rsid w:val="41B31CF9"/>
    <w:rsid w:val="4255633A"/>
    <w:rsid w:val="428B0580"/>
    <w:rsid w:val="436C78D4"/>
    <w:rsid w:val="438F5E4E"/>
    <w:rsid w:val="43B85E8D"/>
    <w:rsid w:val="44CF48CB"/>
    <w:rsid w:val="455C4456"/>
    <w:rsid w:val="45BC695D"/>
    <w:rsid w:val="46D34C04"/>
    <w:rsid w:val="47341CE9"/>
    <w:rsid w:val="47532CF6"/>
    <w:rsid w:val="48A64365"/>
    <w:rsid w:val="4A0155CC"/>
    <w:rsid w:val="4AD056CA"/>
    <w:rsid w:val="4BF72086"/>
    <w:rsid w:val="4C8E75EA"/>
    <w:rsid w:val="4E577EB0"/>
    <w:rsid w:val="4E880069"/>
    <w:rsid w:val="4FB31116"/>
    <w:rsid w:val="502C32C5"/>
    <w:rsid w:val="5043249A"/>
    <w:rsid w:val="508B2FC8"/>
    <w:rsid w:val="50DA73CB"/>
    <w:rsid w:val="51F53C68"/>
    <w:rsid w:val="536E619F"/>
    <w:rsid w:val="543C3DD0"/>
    <w:rsid w:val="56D13F4F"/>
    <w:rsid w:val="580C3AB9"/>
    <w:rsid w:val="583628E4"/>
    <w:rsid w:val="599879CC"/>
    <w:rsid w:val="59E36A9C"/>
    <w:rsid w:val="5A056A12"/>
    <w:rsid w:val="5A4C78CA"/>
    <w:rsid w:val="5AC16DDD"/>
    <w:rsid w:val="5ACF07B6"/>
    <w:rsid w:val="5B205AB3"/>
    <w:rsid w:val="5C9709A0"/>
    <w:rsid w:val="5D3D52EB"/>
    <w:rsid w:val="5DFC5C02"/>
    <w:rsid w:val="5E055233"/>
    <w:rsid w:val="5EAE7678"/>
    <w:rsid w:val="5EB6652D"/>
    <w:rsid w:val="5F125509"/>
    <w:rsid w:val="5F5A38C9"/>
    <w:rsid w:val="5FA87BE4"/>
    <w:rsid w:val="5FB46F10"/>
    <w:rsid w:val="60795A64"/>
    <w:rsid w:val="60B66CB8"/>
    <w:rsid w:val="61045C75"/>
    <w:rsid w:val="61706E67"/>
    <w:rsid w:val="62553ECE"/>
    <w:rsid w:val="62C9383A"/>
    <w:rsid w:val="63C416EC"/>
    <w:rsid w:val="64754486"/>
    <w:rsid w:val="6521133A"/>
    <w:rsid w:val="65F8567D"/>
    <w:rsid w:val="666A657B"/>
    <w:rsid w:val="673821D5"/>
    <w:rsid w:val="6841330B"/>
    <w:rsid w:val="68572B2F"/>
    <w:rsid w:val="68A8647C"/>
    <w:rsid w:val="68AB2E7A"/>
    <w:rsid w:val="690A7BA1"/>
    <w:rsid w:val="697046E5"/>
    <w:rsid w:val="6A764BD5"/>
    <w:rsid w:val="6AAE04E8"/>
    <w:rsid w:val="6ADE3093"/>
    <w:rsid w:val="6AEB3315"/>
    <w:rsid w:val="6BA918F3"/>
    <w:rsid w:val="6BC846BD"/>
    <w:rsid w:val="6C1A3621"/>
    <w:rsid w:val="6CF1694B"/>
    <w:rsid w:val="6D6360AE"/>
    <w:rsid w:val="6EBF1CE0"/>
    <w:rsid w:val="6F0A08FB"/>
    <w:rsid w:val="6F5C4ECE"/>
    <w:rsid w:val="6FAC5A7B"/>
    <w:rsid w:val="6FE32EFA"/>
    <w:rsid w:val="7007308C"/>
    <w:rsid w:val="702F613F"/>
    <w:rsid w:val="73F05ABB"/>
    <w:rsid w:val="74962C31"/>
    <w:rsid w:val="75130D10"/>
    <w:rsid w:val="75622B13"/>
    <w:rsid w:val="758B02BC"/>
    <w:rsid w:val="75AD6999"/>
    <w:rsid w:val="75C458EC"/>
    <w:rsid w:val="76124539"/>
    <w:rsid w:val="772C33D8"/>
    <w:rsid w:val="796055BB"/>
    <w:rsid w:val="7A213EB3"/>
    <w:rsid w:val="7AAC0AB8"/>
    <w:rsid w:val="7ADF258D"/>
    <w:rsid w:val="7B3774DD"/>
    <w:rsid w:val="7BB35E76"/>
    <w:rsid w:val="7BD973EB"/>
    <w:rsid w:val="7BF26971"/>
    <w:rsid w:val="7CFB62F0"/>
    <w:rsid w:val="7D8C19E7"/>
    <w:rsid w:val="7D8F24F2"/>
    <w:rsid w:val="7E067F2F"/>
    <w:rsid w:val="7ED45C48"/>
    <w:rsid w:val="7F370B6C"/>
    <w:rsid w:val="7F9621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unhideWhenUsed/>
    <w:qFormat/>
    <w:uiPriority w:val="1"/>
  </w:style>
  <w:style w:type="table" w:default="1" w:styleId="7">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Date"/>
    <w:basedOn w:val="1"/>
    <w:next w:val="1"/>
    <w:link w:val="11"/>
    <w:autoRedefine/>
    <w:semiHidden/>
    <w:unhideWhenUsed/>
    <w:qFormat/>
    <w:uiPriority w:val="99"/>
    <w:pPr>
      <w:ind w:left="100" w:leftChars="2500"/>
    </w:pPr>
  </w:style>
  <w:style w:type="paragraph" w:styleId="3">
    <w:name w:val="Balloon Text"/>
    <w:basedOn w:val="1"/>
    <w:link w:val="15"/>
    <w:autoRedefine/>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autoRedefine/>
    <w:unhideWhenUsed/>
    <w:qFormat/>
    <w:uiPriority w:val="99"/>
    <w:rPr>
      <w:color w:val="0563C1" w:themeColor="hyperlink"/>
      <w:u w:val="single"/>
      <w14:textFill>
        <w14:solidFill>
          <w14:schemeClr w14:val="hlink"/>
        </w14:solidFill>
      </w14:textFill>
    </w:rPr>
  </w:style>
  <w:style w:type="character" w:customStyle="1" w:styleId="11">
    <w:name w:val="日期 Char"/>
    <w:basedOn w:val="9"/>
    <w:link w:val="2"/>
    <w:autoRedefine/>
    <w:semiHidden/>
    <w:qFormat/>
    <w:uiPriority w:val="99"/>
  </w:style>
  <w:style w:type="character" w:customStyle="1" w:styleId="12">
    <w:name w:val="未处理的提及1"/>
    <w:basedOn w:val="9"/>
    <w:autoRedefine/>
    <w:semiHidden/>
    <w:unhideWhenUsed/>
    <w:qFormat/>
    <w:uiPriority w:val="99"/>
    <w:rPr>
      <w:color w:val="605E5C"/>
      <w:shd w:val="clear" w:color="auto" w:fill="E1DFDD"/>
    </w:rPr>
  </w:style>
  <w:style w:type="character" w:customStyle="1" w:styleId="13">
    <w:name w:val="页眉 Char"/>
    <w:basedOn w:val="9"/>
    <w:link w:val="5"/>
    <w:qFormat/>
    <w:uiPriority w:val="99"/>
    <w:rPr>
      <w:sz w:val="18"/>
      <w:szCs w:val="18"/>
    </w:rPr>
  </w:style>
  <w:style w:type="character" w:customStyle="1" w:styleId="14">
    <w:name w:val="页脚 Char"/>
    <w:basedOn w:val="9"/>
    <w:link w:val="4"/>
    <w:autoRedefine/>
    <w:qFormat/>
    <w:uiPriority w:val="99"/>
    <w:rPr>
      <w:sz w:val="18"/>
      <w:szCs w:val="18"/>
    </w:rPr>
  </w:style>
  <w:style w:type="character" w:customStyle="1" w:styleId="15">
    <w:name w:val="批注框文本 Char"/>
    <w:basedOn w:val="9"/>
    <w:link w:val="3"/>
    <w:autoRedefine/>
    <w:semiHidden/>
    <w:qFormat/>
    <w:uiPriority w:val="99"/>
    <w:rPr>
      <w:sz w:val="18"/>
      <w:szCs w:val="18"/>
    </w:rPr>
  </w:style>
  <w:style w:type="paragraph" w:styleId="16">
    <w:name w:val="List Paragraph"/>
    <w:basedOn w:val="1"/>
    <w:autoRedefine/>
    <w:qFormat/>
    <w:uiPriority w:val="34"/>
    <w:pPr>
      <w:ind w:firstLine="420" w:firstLineChars="200"/>
    </w:pPr>
  </w:style>
  <w:style w:type="paragraph" w:customStyle="1" w:styleId="17">
    <w:name w:val="列出段落1"/>
    <w:basedOn w:val="1"/>
    <w:qFormat/>
    <w:uiPriority w:val="34"/>
    <w:pPr>
      <w:ind w:firstLine="420" w:firstLineChars="200"/>
    </w:pPr>
  </w:style>
  <w:style w:type="paragraph" w:customStyle="1" w:styleId="18">
    <w:name w:val="段"/>
    <w:autoRedefine/>
    <w:qFormat/>
    <w:uiPriority w:val="0"/>
    <w:pPr>
      <w:ind w:firstLine="200" w:firstLineChars="200"/>
      <w:jc w:val="both"/>
    </w:pPr>
    <w:rPr>
      <w:rFonts w:ascii="宋体" w:hAnsi="Times New Roman" w:eastAsia="宋体" w:cs="Times New Roman"/>
      <w:sz w:val="21"/>
      <w:lang w:val="en-US" w:eastAsia="zh-CN" w:bidi="ar-SA"/>
    </w:rPr>
  </w:style>
  <w:style w:type="paragraph" w:customStyle="1" w:styleId="19">
    <w:name w:val="封面标准名称"/>
    <w:autoRedefine/>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5831</Words>
  <Characters>6322</Characters>
  <Lines>291</Lines>
  <Paragraphs>261</Paragraphs>
  <TotalTime>0</TotalTime>
  <ScaleCrop>false</ScaleCrop>
  <LinksUpToDate>false</LinksUpToDate>
  <CharactersWithSpaces>6722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2022-04-21T01:39:00Z</dcterms:created>
  <dc:creator>高 福云</dc:creator>
  <cp:lastModifiedBy>年强</cp:lastModifiedBy>
  <cp:lastPrinted>2023-03-24T02:15:00Z</cp:lastPrinted>
  <dcterms:modified xsi:type="dcterms:W3CDTF">2025-05-19T01:57:04Z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FD24C2E3FEC04941B3DB1A49F8B0D408_13</vt:lpwstr>
  </property>
  <property fmtid="{D5CDD505-2E9C-101B-9397-08002B2CF9AE}" pid="4" name="KSOTemplateDocerSaveRecord">
    <vt:lpwstr>eyJoZGlkIjoiMWU5MjdkMzUxYjNjOWViMzRjY2VjYWZmMmIwMjY1NmMiLCJ1c2VySWQiOiIyNjc3NDc2MDUifQ==</vt:lpwstr>
  </property>
</Properties>
</file>